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34C18" w14:textId="77777777" w:rsidR="005D2D1C" w:rsidRPr="005D2D1C" w:rsidRDefault="005D2D1C" w:rsidP="005D2D1C">
      <w:pPr>
        <w:jc w:val="center"/>
        <w:rPr>
          <w:rFonts w:ascii="GHEA Mariam" w:hAnsi="GHEA Mariam"/>
          <w:b/>
          <w:sz w:val="24"/>
          <w:szCs w:val="24"/>
          <w:lang w:val="hy-AM"/>
        </w:rPr>
      </w:pPr>
      <w:r w:rsidRPr="005D2D1C">
        <w:rPr>
          <w:rFonts w:ascii="GHEA Grapalat" w:hAnsi="GHEA Grapalat"/>
          <w:b/>
          <w:color w:val="191919"/>
          <w:sz w:val="24"/>
          <w:szCs w:val="24"/>
          <w:shd w:val="clear" w:color="auto" w:fill="FFFFFF"/>
          <w:lang w:val="hy-AM"/>
        </w:rPr>
        <w:t>Տ</w:t>
      </w:r>
      <w:r>
        <w:rPr>
          <w:rFonts w:ascii="GHEA Grapalat" w:hAnsi="GHEA Grapalat"/>
          <w:b/>
          <w:color w:val="191919"/>
          <w:sz w:val="24"/>
          <w:szCs w:val="24"/>
          <w:shd w:val="clear" w:color="auto" w:fill="FFFFFF"/>
          <w:lang w:val="hy-AM"/>
        </w:rPr>
        <w:t xml:space="preserve"> </w:t>
      </w:r>
      <w:r w:rsidRPr="005D2D1C">
        <w:rPr>
          <w:rFonts w:ascii="GHEA Grapalat" w:hAnsi="GHEA Grapalat"/>
          <w:b/>
          <w:color w:val="191919"/>
          <w:sz w:val="24"/>
          <w:szCs w:val="24"/>
          <w:shd w:val="clear" w:color="auto" w:fill="FFFFFF"/>
          <w:lang w:val="hy-AM"/>
        </w:rPr>
        <w:t>Ե</w:t>
      </w:r>
      <w:r>
        <w:rPr>
          <w:rFonts w:ascii="GHEA Grapalat" w:hAnsi="GHEA Grapalat"/>
          <w:b/>
          <w:color w:val="191919"/>
          <w:sz w:val="24"/>
          <w:szCs w:val="24"/>
          <w:shd w:val="clear" w:color="auto" w:fill="FFFFFF"/>
          <w:lang w:val="hy-AM"/>
        </w:rPr>
        <w:t xml:space="preserve"> </w:t>
      </w:r>
      <w:r w:rsidRPr="005D2D1C">
        <w:rPr>
          <w:rFonts w:ascii="GHEA Grapalat" w:hAnsi="GHEA Grapalat"/>
          <w:b/>
          <w:color w:val="191919"/>
          <w:sz w:val="24"/>
          <w:szCs w:val="24"/>
          <w:shd w:val="clear" w:color="auto" w:fill="FFFFFF"/>
          <w:lang w:val="hy-AM"/>
        </w:rPr>
        <w:t>Ղ</w:t>
      </w:r>
      <w:r>
        <w:rPr>
          <w:rFonts w:ascii="GHEA Grapalat" w:hAnsi="GHEA Grapalat"/>
          <w:b/>
          <w:color w:val="191919"/>
          <w:sz w:val="24"/>
          <w:szCs w:val="24"/>
          <w:shd w:val="clear" w:color="auto" w:fill="FFFFFF"/>
          <w:lang w:val="hy-AM"/>
        </w:rPr>
        <w:t xml:space="preserve"> </w:t>
      </w:r>
      <w:r w:rsidRPr="005D2D1C">
        <w:rPr>
          <w:rFonts w:ascii="GHEA Grapalat" w:hAnsi="GHEA Grapalat"/>
          <w:b/>
          <w:color w:val="191919"/>
          <w:sz w:val="24"/>
          <w:szCs w:val="24"/>
          <w:shd w:val="clear" w:color="auto" w:fill="FFFFFF"/>
          <w:lang w:val="hy-AM"/>
        </w:rPr>
        <w:t>Ե</w:t>
      </w:r>
      <w:r>
        <w:rPr>
          <w:rFonts w:ascii="GHEA Grapalat" w:hAnsi="GHEA Grapalat"/>
          <w:b/>
          <w:color w:val="191919"/>
          <w:sz w:val="24"/>
          <w:szCs w:val="24"/>
          <w:shd w:val="clear" w:color="auto" w:fill="FFFFFF"/>
          <w:lang w:val="hy-AM"/>
        </w:rPr>
        <w:t xml:space="preserve"> </w:t>
      </w:r>
      <w:r w:rsidRPr="005D2D1C">
        <w:rPr>
          <w:rFonts w:ascii="GHEA Grapalat" w:hAnsi="GHEA Grapalat"/>
          <w:b/>
          <w:color w:val="191919"/>
          <w:sz w:val="24"/>
          <w:szCs w:val="24"/>
          <w:shd w:val="clear" w:color="auto" w:fill="FFFFFF"/>
          <w:lang w:val="hy-AM"/>
        </w:rPr>
        <w:t>Կ</w:t>
      </w:r>
      <w:r>
        <w:rPr>
          <w:rFonts w:ascii="GHEA Grapalat" w:hAnsi="GHEA Grapalat"/>
          <w:b/>
          <w:color w:val="191919"/>
          <w:sz w:val="24"/>
          <w:szCs w:val="24"/>
          <w:shd w:val="clear" w:color="auto" w:fill="FFFFFF"/>
          <w:lang w:val="hy-AM"/>
        </w:rPr>
        <w:t xml:space="preserve"> </w:t>
      </w:r>
      <w:r w:rsidRPr="005D2D1C">
        <w:rPr>
          <w:rFonts w:ascii="GHEA Grapalat" w:hAnsi="GHEA Grapalat"/>
          <w:b/>
          <w:color w:val="191919"/>
          <w:sz w:val="24"/>
          <w:szCs w:val="24"/>
          <w:shd w:val="clear" w:color="auto" w:fill="FFFFFF"/>
          <w:lang w:val="hy-AM"/>
        </w:rPr>
        <w:t>Ա</w:t>
      </w:r>
      <w:r>
        <w:rPr>
          <w:rFonts w:ascii="GHEA Grapalat" w:hAnsi="GHEA Grapalat"/>
          <w:b/>
          <w:color w:val="191919"/>
          <w:sz w:val="24"/>
          <w:szCs w:val="24"/>
          <w:shd w:val="clear" w:color="auto" w:fill="FFFFFF"/>
          <w:lang w:val="hy-AM"/>
        </w:rPr>
        <w:t xml:space="preserve"> </w:t>
      </w:r>
      <w:r w:rsidRPr="005D2D1C">
        <w:rPr>
          <w:rFonts w:ascii="GHEA Grapalat" w:hAnsi="GHEA Grapalat"/>
          <w:b/>
          <w:color w:val="191919"/>
          <w:sz w:val="24"/>
          <w:szCs w:val="24"/>
          <w:shd w:val="clear" w:color="auto" w:fill="FFFFFF"/>
          <w:lang w:val="hy-AM"/>
        </w:rPr>
        <w:t>Ն</w:t>
      </w:r>
      <w:r>
        <w:rPr>
          <w:rFonts w:ascii="GHEA Grapalat" w:hAnsi="GHEA Grapalat"/>
          <w:b/>
          <w:color w:val="191919"/>
          <w:sz w:val="24"/>
          <w:szCs w:val="24"/>
          <w:shd w:val="clear" w:color="auto" w:fill="FFFFFF"/>
          <w:lang w:val="hy-AM"/>
        </w:rPr>
        <w:t xml:space="preserve"> </w:t>
      </w:r>
      <w:r w:rsidRPr="005D2D1C">
        <w:rPr>
          <w:rFonts w:ascii="GHEA Grapalat" w:hAnsi="GHEA Grapalat"/>
          <w:b/>
          <w:color w:val="191919"/>
          <w:sz w:val="24"/>
          <w:szCs w:val="24"/>
          <w:shd w:val="clear" w:color="auto" w:fill="FFFFFF"/>
          <w:lang w:val="hy-AM"/>
        </w:rPr>
        <w:t>Ք</w:t>
      </w:r>
      <w:r>
        <w:rPr>
          <w:rFonts w:ascii="GHEA Grapalat" w:hAnsi="GHEA Grapalat"/>
          <w:b/>
          <w:color w:val="191919"/>
          <w:sz w:val="24"/>
          <w:szCs w:val="24"/>
          <w:shd w:val="clear" w:color="auto" w:fill="FFFFFF"/>
          <w:lang w:val="hy-AM"/>
        </w:rPr>
        <w:t xml:space="preserve"> </w:t>
      </w:r>
    </w:p>
    <w:p w14:paraId="56FB2290" w14:textId="4426F702" w:rsidR="005D2D1C" w:rsidRPr="00A275F1" w:rsidRDefault="00AE7087" w:rsidP="00817744">
      <w:pPr>
        <w:jc w:val="center"/>
        <w:rPr>
          <w:rFonts w:ascii="GHEA Grapalat" w:hAnsi="GHEA Grapalat"/>
          <w:color w:val="191919"/>
          <w:szCs w:val="24"/>
          <w:shd w:val="clear" w:color="auto" w:fill="FFFFFF"/>
          <w:lang w:val="hy-AM"/>
        </w:rPr>
      </w:pPr>
      <w:r w:rsidRPr="00A275F1">
        <w:rPr>
          <w:rFonts w:ascii="GHEA Grapalat" w:hAnsi="GHEA Grapalat"/>
          <w:color w:val="191919"/>
          <w:szCs w:val="24"/>
          <w:shd w:val="clear" w:color="auto" w:fill="FFFFFF"/>
          <w:lang w:val="hy-AM"/>
        </w:rPr>
        <w:t>Կառավարության 2022թ.-ի հուլիսի 21-ի թիվ 1133-Լ որոշմամբ ընդունված Դատական և իրավական բարեփոխումների 2022-2026 թվականների</w:t>
      </w:r>
      <w:r w:rsidR="00FC7331" w:rsidRPr="00A275F1">
        <w:rPr>
          <w:rFonts w:ascii="GHEA Grapalat" w:hAnsi="GHEA Grapalat"/>
          <w:color w:val="191919"/>
          <w:szCs w:val="24"/>
          <w:shd w:val="clear" w:color="auto" w:fill="FFFFFF"/>
          <w:lang w:val="hy-AM"/>
        </w:rPr>
        <w:t xml:space="preserve"> </w:t>
      </w:r>
      <w:r w:rsidR="00E9000B" w:rsidRPr="00A275F1">
        <w:rPr>
          <w:rFonts w:ascii="GHEA Grapalat" w:hAnsi="GHEA Grapalat"/>
          <w:color w:val="000000" w:themeColor="text1"/>
          <w:szCs w:val="24"/>
          <w:lang w:val="hy-AM"/>
        </w:rPr>
        <w:t>ռ</w:t>
      </w:r>
      <w:r w:rsidR="005D2D1C" w:rsidRPr="00A275F1">
        <w:rPr>
          <w:rFonts w:ascii="GHEA Grapalat" w:hAnsi="GHEA Grapalat"/>
          <w:color w:val="000000" w:themeColor="text1"/>
          <w:szCs w:val="24"/>
          <w:lang w:val="hy-AM"/>
        </w:rPr>
        <w:t xml:space="preserve">ազմավարությամբ </w:t>
      </w:r>
      <w:r w:rsidR="003661B4" w:rsidRPr="00A275F1">
        <w:rPr>
          <w:rFonts w:ascii="GHEA Grapalat" w:hAnsi="GHEA Grapalat"/>
          <w:color w:val="000000" w:themeColor="text1"/>
          <w:szCs w:val="24"/>
          <w:lang w:val="hy-AM"/>
        </w:rPr>
        <w:t xml:space="preserve">և դրանից բխող գործողությունների ծրագրով </w:t>
      </w:r>
      <w:r w:rsidR="005D2D1C" w:rsidRPr="00A275F1">
        <w:rPr>
          <w:rFonts w:ascii="GHEA Grapalat" w:hAnsi="GHEA Grapalat"/>
          <w:color w:val="000000" w:themeColor="text1"/>
          <w:szCs w:val="24"/>
          <w:lang w:val="hy-AM"/>
        </w:rPr>
        <w:t>սահմանված</w:t>
      </w:r>
      <w:r w:rsidR="005D2D1C" w:rsidRPr="00A275F1">
        <w:rPr>
          <w:rFonts w:ascii="Calibri" w:hAnsi="Calibri" w:cs="Calibri"/>
          <w:color w:val="000000" w:themeColor="text1"/>
          <w:szCs w:val="24"/>
          <w:lang w:val="hy-AM"/>
        </w:rPr>
        <w:t> </w:t>
      </w:r>
      <w:r w:rsidR="00817744" w:rsidRPr="00A275F1">
        <w:rPr>
          <w:rFonts w:ascii="GHEA Grapalat" w:hAnsi="GHEA Grapalat"/>
          <w:color w:val="000000" w:themeColor="text1"/>
          <w:szCs w:val="24"/>
          <w:lang w:val="hy-AM"/>
        </w:rPr>
        <w:t>2025 թվականին կատարման ենթակա գործողությունների</w:t>
      </w:r>
      <w:r w:rsidR="00E01548" w:rsidRPr="00A275F1">
        <w:rPr>
          <w:rFonts w:ascii="GHEA Grapalat" w:hAnsi="GHEA Grapalat"/>
          <w:color w:val="000000" w:themeColor="text1"/>
          <w:szCs w:val="24"/>
          <w:lang w:val="hy-AM"/>
        </w:rPr>
        <w:t xml:space="preserve"> </w:t>
      </w:r>
      <w:r w:rsidR="00817744" w:rsidRPr="00A275F1">
        <w:rPr>
          <w:rFonts w:ascii="GHEA Grapalat" w:hAnsi="GHEA Grapalat"/>
          <w:color w:val="000000" w:themeColor="text1"/>
          <w:szCs w:val="24"/>
          <w:lang w:val="hy-AM"/>
        </w:rPr>
        <w:t>կատարման</w:t>
      </w:r>
      <w:r w:rsidR="00E01548" w:rsidRPr="00A275F1">
        <w:rPr>
          <w:rFonts w:ascii="GHEA Grapalat" w:hAnsi="GHEA Grapalat"/>
          <w:color w:val="000000" w:themeColor="text1"/>
          <w:szCs w:val="24"/>
          <w:lang w:val="hy-AM"/>
        </w:rPr>
        <w:t xml:space="preserve"> ը</w:t>
      </w:r>
      <w:r w:rsidR="00817744" w:rsidRPr="00A275F1">
        <w:rPr>
          <w:rFonts w:ascii="GHEA Grapalat" w:hAnsi="GHEA Grapalat"/>
          <w:color w:val="000000" w:themeColor="text1"/>
          <w:szCs w:val="24"/>
          <w:lang w:val="hy-AM"/>
        </w:rPr>
        <w:t>նթացքի և արդյունքների վերաբերյալ</w:t>
      </w:r>
      <w:r w:rsidR="005D2D1C" w:rsidRPr="00A275F1">
        <w:rPr>
          <w:rFonts w:ascii="GHEA Grapalat" w:hAnsi="GHEA Grapalat"/>
          <w:color w:val="191919"/>
          <w:szCs w:val="24"/>
          <w:shd w:val="clear" w:color="auto" w:fill="FFFFFF"/>
          <w:lang w:val="hy-AM"/>
        </w:rPr>
        <w:t xml:space="preserve"> </w:t>
      </w:r>
    </w:p>
    <w:tbl>
      <w:tblPr>
        <w:tblStyle w:val="TableGrid"/>
        <w:tblW w:w="14040" w:type="dxa"/>
        <w:tblInd w:w="85" w:type="dxa"/>
        <w:tblLook w:val="04A0" w:firstRow="1" w:lastRow="0" w:firstColumn="1" w:lastColumn="0" w:noHBand="0" w:noVBand="1"/>
      </w:tblPr>
      <w:tblGrid>
        <w:gridCol w:w="720"/>
        <w:gridCol w:w="3585"/>
        <w:gridCol w:w="4252"/>
        <w:gridCol w:w="5483"/>
      </w:tblGrid>
      <w:tr w:rsidR="00EC1825" w:rsidRPr="0074573F" w14:paraId="208033AC" w14:textId="77777777" w:rsidTr="00DD3CE0">
        <w:trPr>
          <w:trHeight w:val="793"/>
        </w:trPr>
        <w:tc>
          <w:tcPr>
            <w:tcW w:w="720" w:type="dxa"/>
          </w:tcPr>
          <w:p w14:paraId="7B69D33D" w14:textId="77777777" w:rsidR="00EC1825" w:rsidRPr="00FE4A11" w:rsidRDefault="00EC1825" w:rsidP="005D2D1C">
            <w:pPr>
              <w:jc w:val="center"/>
              <w:rPr>
                <w:rFonts w:ascii="GHEA Grapalat" w:hAnsi="GHEA Grapalat"/>
                <w:b/>
                <w:lang w:val="hy-AM"/>
              </w:rPr>
            </w:pPr>
            <w:r w:rsidRPr="00FE4A11">
              <w:rPr>
                <w:rFonts w:ascii="GHEA Grapalat" w:hAnsi="GHEA Grapalat"/>
                <w:lang w:val="hy-AM"/>
              </w:rPr>
              <w:t>N</w:t>
            </w:r>
          </w:p>
        </w:tc>
        <w:tc>
          <w:tcPr>
            <w:tcW w:w="3585" w:type="dxa"/>
          </w:tcPr>
          <w:p w14:paraId="25D9BEB4" w14:textId="77777777" w:rsidR="00EC1825" w:rsidRPr="00FE4A11" w:rsidRDefault="00EC1825" w:rsidP="005D2D1C">
            <w:pPr>
              <w:jc w:val="center"/>
              <w:rPr>
                <w:rFonts w:ascii="GHEA Grapalat" w:hAnsi="GHEA Grapalat"/>
                <w:b/>
                <w:lang w:val="hy-AM"/>
              </w:rPr>
            </w:pPr>
            <w:r w:rsidRPr="00FE4A11">
              <w:rPr>
                <w:rFonts w:ascii="GHEA Grapalat" w:hAnsi="GHEA Grapalat" w:cs="Arial"/>
                <w:lang w:val="hy-AM"/>
              </w:rPr>
              <w:t>Նպատակ</w:t>
            </w:r>
          </w:p>
        </w:tc>
        <w:tc>
          <w:tcPr>
            <w:tcW w:w="4252" w:type="dxa"/>
          </w:tcPr>
          <w:p w14:paraId="2D75B677" w14:textId="77777777" w:rsidR="00EC1825" w:rsidRPr="00FE4A11" w:rsidRDefault="008F719A" w:rsidP="005D2D1C">
            <w:pPr>
              <w:jc w:val="center"/>
              <w:rPr>
                <w:rFonts w:ascii="GHEA Grapalat" w:hAnsi="GHEA Grapalat" w:cs="Arial"/>
                <w:lang w:val="hy-AM"/>
              </w:rPr>
            </w:pPr>
            <w:r w:rsidRPr="00FE4A11">
              <w:rPr>
                <w:rFonts w:ascii="GHEA Grapalat" w:hAnsi="GHEA Grapalat" w:cs="Arial"/>
                <w:lang w:val="hy-AM"/>
              </w:rPr>
              <w:t>գործողություն</w:t>
            </w:r>
          </w:p>
        </w:tc>
        <w:tc>
          <w:tcPr>
            <w:tcW w:w="5483" w:type="dxa"/>
          </w:tcPr>
          <w:p w14:paraId="17E5BA1E" w14:textId="717940A7" w:rsidR="0084651B" w:rsidRPr="00FE4A11" w:rsidRDefault="00EC1825" w:rsidP="00D75BEA">
            <w:pPr>
              <w:jc w:val="center"/>
              <w:rPr>
                <w:rFonts w:ascii="GHEA Grapalat" w:hAnsi="GHEA Grapalat" w:cs="Arial"/>
                <w:lang w:val="hy-AM"/>
              </w:rPr>
            </w:pPr>
            <w:r w:rsidRPr="00FE4A11">
              <w:rPr>
                <w:rFonts w:ascii="GHEA Grapalat" w:hAnsi="GHEA Grapalat" w:cs="Arial"/>
                <w:lang w:val="hy-AM"/>
              </w:rPr>
              <w:t>Կատարման ընթացիկ</w:t>
            </w:r>
            <w:r w:rsidRPr="00FE4A11">
              <w:rPr>
                <w:rFonts w:ascii="GHEA Grapalat" w:hAnsi="GHEA Grapalat"/>
                <w:lang w:val="hy-AM"/>
              </w:rPr>
              <w:t xml:space="preserve"> </w:t>
            </w:r>
            <w:r w:rsidRPr="00FE4A11">
              <w:rPr>
                <w:rFonts w:ascii="GHEA Grapalat" w:hAnsi="GHEA Grapalat" w:cs="Arial"/>
                <w:lang w:val="hy-AM"/>
              </w:rPr>
              <w:t>վիճակը</w:t>
            </w:r>
          </w:p>
          <w:p w14:paraId="6321BDEE" w14:textId="77777777" w:rsidR="00EC1825" w:rsidRPr="00FE4A11" w:rsidRDefault="00EC1825" w:rsidP="00D75BEA">
            <w:pPr>
              <w:jc w:val="center"/>
              <w:rPr>
                <w:rFonts w:ascii="GHEA Grapalat" w:hAnsi="GHEA Grapalat"/>
                <w:b/>
                <w:lang w:val="hy-AM"/>
              </w:rPr>
            </w:pPr>
            <w:r w:rsidRPr="00FE4A11">
              <w:rPr>
                <w:rFonts w:ascii="GHEA Grapalat" w:hAnsi="GHEA Grapalat" w:cs="Arial"/>
                <w:lang w:val="hy-AM"/>
              </w:rPr>
              <w:t>(այդ թվում նշելով կատարված է, կատարված չէ)</w:t>
            </w:r>
          </w:p>
        </w:tc>
      </w:tr>
      <w:tr w:rsidR="00EC1825" w:rsidRPr="0074573F" w14:paraId="1A19E033" w14:textId="77777777" w:rsidTr="00DD3CE0">
        <w:trPr>
          <w:trHeight w:val="2329"/>
        </w:trPr>
        <w:tc>
          <w:tcPr>
            <w:tcW w:w="720" w:type="dxa"/>
          </w:tcPr>
          <w:p w14:paraId="714B09A6" w14:textId="77777777" w:rsidR="00EC1825" w:rsidRPr="00FE4A11" w:rsidRDefault="00EC1825" w:rsidP="006459B1">
            <w:pPr>
              <w:pStyle w:val="ListParagraph"/>
              <w:numPr>
                <w:ilvl w:val="0"/>
                <w:numId w:val="1"/>
              </w:numPr>
              <w:jc w:val="both"/>
              <w:rPr>
                <w:rFonts w:ascii="GHEA Grapalat" w:hAnsi="GHEA Grapalat"/>
                <w:b/>
                <w:lang w:val="hy-AM"/>
              </w:rPr>
            </w:pPr>
          </w:p>
        </w:tc>
        <w:tc>
          <w:tcPr>
            <w:tcW w:w="3585" w:type="dxa"/>
          </w:tcPr>
          <w:p w14:paraId="66BE2009" w14:textId="77777777" w:rsidR="00EC59EB" w:rsidRPr="00FE4A11" w:rsidRDefault="00EC59EB" w:rsidP="008E3294">
            <w:pPr>
              <w:jc w:val="both"/>
              <w:rPr>
                <w:rFonts w:ascii="GHEA Grapalat" w:hAnsi="GHEA Grapalat"/>
                <w:b/>
                <w:lang w:val="hy-AM"/>
              </w:rPr>
            </w:pPr>
            <w:r w:rsidRPr="00FE4A11">
              <w:rPr>
                <w:rFonts w:ascii="GHEA Grapalat" w:hAnsi="GHEA Grapalat"/>
                <w:b/>
                <w:lang w:val="hy-AM"/>
              </w:rPr>
              <w:t>Նպատակ 1</w:t>
            </w:r>
          </w:p>
          <w:p w14:paraId="26DFE77E" w14:textId="4CBDDAEE" w:rsidR="00EC1825" w:rsidRPr="00FE4A11" w:rsidRDefault="008E3294" w:rsidP="00EC3ED0">
            <w:pPr>
              <w:jc w:val="both"/>
              <w:rPr>
                <w:rFonts w:ascii="GHEA Grapalat" w:hAnsi="GHEA Grapalat"/>
                <w:lang w:val="hy-AM"/>
              </w:rPr>
            </w:pPr>
            <w:r w:rsidRPr="00FE4A11">
              <w:rPr>
                <w:rFonts w:ascii="GHEA Grapalat" w:hAnsi="GHEA Grapalat"/>
                <w:lang w:val="hy-AM"/>
              </w:rPr>
              <w:t xml:space="preserve">Էլեկտրոնային արդարադատություն» միասնական կառավարման համակարգի ստեղծում </w:t>
            </w:r>
            <w:r w:rsidR="00EC3ED0" w:rsidRPr="00FE4A11">
              <w:rPr>
                <w:rFonts w:ascii="GHEA Grapalat" w:hAnsi="GHEA Grapalat"/>
                <w:lang w:val="hy-AM"/>
              </w:rPr>
              <w:t>և</w:t>
            </w:r>
            <w:r w:rsidRPr="00FE4A11">
              <w:rPr>
                <w:rFonts w:ascii="GHEA Grapalat" w:hAnsi="GHEA Grapalat"/>
                <w:lang w:val="hy-AM"/>
              </w:rPr>
              <w:t xml:space="preserve"> տվյալների էլեկտրոնային բազաների մատչելիության ապահովում ու արդիականացում</w:t>
            </w:r>
          </w:p>
        </w:tc>
        <w:tc>
          <w:tcPr>
            <w:tcW w:w="4252" w:type="dxa"/>
          </w:tcPr>
          <w:p w14:paraId="76C087AA" w14:textId="77777777" w:rsidR="00F87E7B" w:rsidRPr="00FE4A11" w:rsidRDefault="00F87E7B" w:rsidP="00E1057D">
            <w:pPr>
              <w:rPr>
                <w:rFonts w:ascii="GHEA Grapalat" w:hAnsi="GHEA Grapalat"/>
                <w:b/>
                <w:lang w:val="hy-AM"/>
              </w:rPr>
            </w:pPr>
            <w:r w:rsidRPr="00FE4A11">
              <w:rPr>
                <w:rFonts w:ascii="GHEA Grapalat" w:hAnsi="GHEA Grapalat"/>
                <w:b/>
                <w:lang w:val="hy-AM"/>
              </w:rPr>
              <w:t>Գործողություն 9</w:t>
            </w:r>
          </w:p>
          <w:p w14:paraId="53217C1E" w14:textId="77777777" w:rsidR="00EC1825" w:rsidRPr="00FE4A11" w:rsidRDefault="00234D7F" w:rsidP="00DE1EB5">
            <w:pPr>
              <w:rPr>
                <w:rFonts w:ascii="GHEA Grapalat" w:hAnsi="GHEA Grapalat"/>
                <w:lang w:val="hy-AM"/>
              </w:rPr>
            </w:pPr>
            <w:r w:rsidRPr="00FE4A11">
              <w:rPr>
                <w:rFonts w:ascii="GHEA Grapalat" w:hAnsi="GHEA Grapalat"/>
                <w:lang w:val="hy-AM"/>
              </w:rPr>
              <w:t>Ապահովել «Էլեկտրոնային արդարադատություն» միասնական հարթակի միջոցով արդարադատության ոլորտի էլեկտրոնային համակարգերի հասանելիություն</w:t>
            </w:r>
          </w:p>
          <w:p w14:paraId="46A37260" w14:textId="77777777" w:rsidR="00234D7F" w:rsidRPr="00FE4A11" w:rsidRDefault="00234D7F" w:rsidP="00DE1EB5">
            <w:pPr>
              <w:rPr>
                <w:rFonts w:ascii="GHEA Grapalat" w:hAnsi="GHEA Grapalat"/>
                <w:lang w:val="hy-AM"/>
              </w:rPr>
            </w:pPr>
          </w:p>
          <w:p w14:paraId="0767A0CC" w14:textId="77777777" w:rsidR="00234D7F" w:rsidRPr="00FE4A11" w:rsidRDefault="00234D7F" w:rsidP="00DE1EB5">
            <w:pPr>
              <w:rPr>
                <w:rFonts w:ascii="GHEA Grapalat" w:hAnsi="GHEA Grapalat"/>
                <w:b/>
                <w:lang w:val="hy-AM"/>
              </w:rPr>
            </w:pPr>
            <w:r w:rsidRPr="00FE4A11">
              <w:rPr>
                <w:rFonts w:ascii="GHEA Grapalat" w:hAnsi="GHEA Grapalat"/>
                <w:lang w:val="hy-AM"/>
              </w:rPr>
              <w:t>(ժամկետ՝ 2025 թվականի 2-րդ եռամսյակ )</w:t>
            </w:r>
          </w:p>
        </w:tc>
        <w:tc>
          <w:tcPr>
            <w:tcW w:w="5483" w:type="dxa"/>
          </w:tcPr>
          <w:p w14:paraId="46C6470A" w14:textId="108F038C" w:rsidR="00DE1EB5" w:rsidRPr="00FE4A11" w:rsidRDefault="00C96BB6" w:rsidP="00DD3CE0">
            <w:pPr>
              <w:jc w:val="center"/>
              <w:rPr>
                <w:rStyle w:val="Strong"/>
                <w:rFonts w:ascii="GHEA Grapalat" w:hAnsi="GHEA Grapalat"/>
                <w:lang w:val="hy-AM"/>
              </w:rPr>
            </w:pPr>
            <w:r w:rsidRPr="00FE4A11">
              <w:rPr>
                <w:rStyle w:val="Strong"/>
                <w:rFonts w:ascii="GHEA Grapalat" w:hAnsi="GHEA Grapalat"/>
                <w:lang w:val="hy-AM"/>
              </w:rPr>
              <w:t>Կատարված չէ</w:t>
            </w:r>
          </w:p>
          <w:p w14:paraId="5987DA50" w14:textId="77777777" w:rsidR="00DD3CE0" w:rsidRPr="00FE4A11" w:rsidRDefault="00DD3CE0" w:rsidP="00DD3CE0">
            <w:pPr>
              <w:jc w:val="center"/>
              <w:rPr>
                <w:rStyle w:val="Strong"/>
                <w:rFonts w:ascii="GHEA Grapalat" w:hAnsi="GHEA Grapalat"/>
                <w:b w:val="0"/>
                <w:lang w:val="hy-AM"/>
              </w:rPr>
            </w:pPr>
          </w:p>
          <w:p w14:paraId="2D90765F" w14:textId="50B77333" w:rsidR="00EC1825" w:rsidRPr="00FE4A11" w:rsidRDefault="00E84E7F" w:rsidP="00D75BEA">
            <w:pPr>
              <w:jc w:val="both"/>
              <w:rPr>
                <w:rFonts w:ascii="GHEA Grapalat" w:hAnsi="GHEA Grapalat"/>
                <w:b/>
                <w:lang w:val="hy-AM"/>
              </w:rPr>
            </w:pPr>
            <w:r w:rsidRPr="00E84E7F">
              <w:rPr>
                <w:rStyle w:val="Strong"/>
                <w:rFonts w:ascii="GHEA Grapalat" w:hAnsi="GHEA Grapalat"/>
                <w:b w:val="0"/>
                <w:lang w:val="hy-AM"/>
              </w:rPr>
              <w:t>Միասնական դատական կառավարման համակարգի (UNICOURT) համար պահանջվող փաստաթղթերի ամբողջական փաթեթը նախատեսվում է ներկայացնել ՏՀԿԽ հաստատմանը և գնումների գործընթացի մեկնարկին՝ մինչև 2026 թվականի ապրիլ ամիսը</w:t>
            </w:r>
            <w:r>
              <w:rPr>
                <w:rStyle w:val="Strong"/>
                <w:rFonts w:ascii="GHEA Grapalat" w:hAnsi="GHEA Grapalat"/>
                <w:b w:val="0"/>
                <w:lang w:val="hy-AM"/>
              </w:rPr>
              <w:t>։</w:t>
            </w:r>
          </w:p>
        </w:tc>
      </w:tr>
      <w:tr w:rsidR="00EC1825" w:rsidRPr="0074573F" w14:paraId="7E35E968" w14:textId="77777777" w:rsidTr="00DD3CE0">
        <w:tc>
          <w:tcPr>
            <w:tcW w:w="720" w:type="dxa"/>
          </w:tcPr>
          <w:p w14:paraId="6DBAB527" w14:textId="77777777" w:rsidR="00EC1825" w:rsidRPr="00FE4A11" w:rsidRDefault="00EC1825" w:rsidP="006459B1">
            <w:pPr>
              <w:pStyle w:val="ListParagraph"/>
              <w:numPr>
                <w:ilvl w:val="0"/>
                <w:numId w:val="1"/>
              </w:numPr>
              <w:jc w:val="both"/>
              <w:rPr>
                <w:rFonts w:ascii="GHEA Grapalat" w:hAnsi="GHEA Grapalat"/>
                <w:b/>
                <w:lang w:val="hy-AM"/>
              </w:rPr>
            </w:pPr>
          </w:p>
        </w:tc>
        <w:tc>
          <w:tcPr>
            <w:tcW w:w="3585" w:type="dxa"/>
          </w:tcPr>
          <w:p w14:paraId="2EC494F3" w14:textId="77777777" w:rsidR="00EC1825" w:rsidRPr="00FE4A11" w:rsidRDefault="00EC1825" w:rsidP="005D2D1C">
            <w:pPr>
              <w:jc w:val="center"/>
              <w:rPr>
                <w:rFonts w:ascii="GHEA Grapalat" w:hAnsi="GHEA Grapalat"/>
                <w:b/>
                <w:lang w:val="hy-AM"/>
              </w:rPr>
            </w:pPr>
          </w:p>
        </w:tc>
        <w:tc>
          <w:tcPr>
            <w:tcW w:w="4252" w:type="dxa"/>
          </w:tcPr>
          <w:p w14:paraId="46930AD0" w14:textId="77777777" w:rsidR="00F87E7B" w:rsidRPr="00FE4A11" w:rsidRDefault="00F87E7B" w:rsidP="00E1057D">
            <w:pPr>
              <w:rPr>
                <w:rFonts w:ascii="GHEA Grapalat" w:hAnsi="GHEA Grapalat"/>
                <w:b/>
                <w:lang w:val="hy-AM"/>
              </w:rPr>
            </w:pPr>
            <w:r w:rsidRPr="00FE4A11">
              <w:rPr>
                <w:rFonts w:ascii="GHEA Grapalat" w:hAnsi="GHEA Grapalat"/>
                <w:b/>
                <w:lang w:val="hy-AM"/>
              </w:rPr>
              <w:t>Գործողություն 18</w:t>
            </w:r>
          </w:p>
          <w:p w14:paraId="1212B3EB" w14:textId="77777777" w:rsidR="00EC1825" w:rsidRPr="00FE4A11" w:rsidRDefault="00EC59EB" w:rsidP="00E1057D">
            <w:pPr>
              <w:rPr>
                <w:rFonts w:ascii="GHEA Grapalat" w:hAnsi="GHEA Grapalat"/>
                <w:lang w:val="hy-AM"/>
              </w:rPr>
            </w:pPr>
            <w:r w:rsidRPr="00FE4A11">
              <w:rPr>
                <w:rFonts w:ascii="GHEA Grapalat" w:hAnsi="GHEA Grapalat"/>
                <w:lang w:val="hy-AM"/>
              </w:rPr>
              <w:t>Թվայնացնել Իրավաբանական անձանց պետական ռեգիստրի արխիվային նյութերը, ստեղծել թվային արխիվ</w:t>
            </w:r>
          </w:p>
          <w:p w14:paraId="728CF67D" w14:textId="77777777" w:rsidR="00EC59EB" w:rsidRPr="00FE4A11" w:rsidRDefault="00EC59EB" w:rsidP="00E1057D">
            <w:pPr>
              <w:rPr>
                <w:rFonts w:ascii="GHEA Grapalat" w:hAnsi="GHEA Grapalat"/>
                <w:lang w:val="hy-AM"/>
              </w:rPr>
            </w:pPr>
          </w:p>
          <w:p w14:paraId="24D91B7D" w14:textId="77777777" w:rsidR="00E1057D" w:rsidRPr="00FE4A11" w:rsidRDefault="00EC59EB" w:rsidP="00E1057D">
            <w:pPr>
              <w:rPr>
                <w:rFonts w:ascii="GHEA Grapalat" w:hAnsi="GHEA Grapalat"/>
                <w:lang w:val="hy-AM"/>
              </w:rPr>
            </w:pPr>
            <w:r w:rsidRPr="00FE4A11">
              <w:rPr>
                <w:rFonts w:ascii="GHEA Grapalat" w:hAnsi="GHEA Grapalat"/>
                <w:lang w:val="hy-AM"/>
              </w:rPr>
              <w:t>(ժամկետ՝ 2025 թվականի 4-րդ եռամսյակ )</w:t>
            </w:r>
          </w:p>
        </w:tc>
        <w:tc>
          <w:tcPr>
            <w:tcW w:w="5483" w:type="dxa"/>
          </w:tcPr>
          <w:p w14:paraId="5836D207" w14:textId="7F7625C7" w:rsidR="00EC3ED0" w:rsidRPr="00FE4A11" w:rsidRDefault="00084287" w:rsidP="00084287">
            <w:pPr>
              <w:jc w:val="center"/>
              <w:rPr>
                <w:rStyle w:val="Strong"/>
                <w:rFonts w:ascii="GHEA Grapalat" w:hAnsi="GHEA Grapalat"/>
                <w:lang w:val="hy-AM"/>
              </w:rPr>
            </w:pPr>
            <w:r w:rsidRPr="00FE4A11">
              <w:rPr>
                <w:rStyle w:val="Strong"/>
                <w:rFonts w:ascii="GHEA Grapalat" w:hAnsi="GHEA Grapalat"/>
                <w:lang w:val="hy-AM"/>
              </w:rPr>
              <w:t>Կատարված է</w:t>
            </w:r>
          </w:p>
          <w:p w14:paraId="72942D50" w14:textId="77777777" w:rsidR="00084287" w:rsidRPr="00FE4A11" w:rsidRDefault="00084287" w:rsidP="00084287">
            <w:pPr>
              <w:jc w:val="center"/>
              <w:rPr>
                <w:rStyle w:val="Strong"/>
                <w:rFonts w:ascii="GHEA Grapalat" w:hAnsi="GHEA Grapalat"/>
                <w:lang w:val="hy-AM"/>
              </w:rPr>
            </w:pPr>
          </w:p>
          <w:p w14:paraId="1F39BCB8" w14:textId="58B22E2E" w:rsidR="00E84E7F" w:rsidRPr="00E84E7F" w:rsidRDefault="00E84E7F" w:rsidP="00E84E7F">
            <w:pPr>
              <w:jc w:val="both"/>
              <w:rPr>
                <w:rStyle w:val="Strong"/>
                <w:rFonts w:ascii="GHEA Grapalat" w:hAnsi="GHEA Grapalat"/>
                <w:b w:val="0"/>
                <w:lang w:val="hy-AM"/>
              </w:rPr>
            </w:pPr>
            <w:r w:rsidRPr="00E84E7F">
              <w:rPr>
                <w:rStyle w:val="Strong"/>
                <w:rFonts w:ascii="GHEA Grapalat" w:hAnsi="GHEA Grapalat"/>
                <w:b w:val="0"/>
                <w:lang w:val="hy-AM"/>
              </w:rPr>
              <w:t>Արդարադատության նախարարության  Իրավաբանական անձանց պետական ռեգիստրի էլեկտրոնային հարթակը (e-register.moj.am) գործարկվել է 2025 թվականի դեկտեմբերի 24-ին՝ ապահովելով իրավաբանական անձանց կազմակերպաիրավական ձևերի առցանց գրանցման հնարավորություն։ Համակարգի հիմնական գործառույթներն ամբողջությամբ ներդրված են և գործարկումից ի վեր գտնվում են շահագործման մեջ։</w:t>
            </w:r>
          </w:p>
          <w:p w14:paraId="0509AF65" w14:textId="77777777" w:rsidR="00E84E7F" w:rsidRPr="00E84E7F" w:rsidRDefault="00E84E7F" w:rsidP="00E84E7F">
            <w:pPr>
              <w:jc w:val="both"/>
              <w:rPr>
                <w:rStyle w:val="Strong"/>
                <w:rFonts w:ascii="GHEA Grapalat" w:hAnsi="GHEA Grapalat"/>
                <w:b w:val="0"/>
                <w:lang w:val="hy-AM"/>
              </w:rPr>
            </w:pPr>
            <w:r w:rsidRPr="00E84E7F">
              <w:rPr>
                <w:rStyle w:val="Strong"/>
                <w:rFonts w:ascii="GHEA Grapalat" w:hAnsi="GHEA Grapalat"/>
                <w:b w:val="0"/>
                <w:lang w:val="hy-AM"/>
              </w:rPr>
              <w:lastRenderedPageBreak/>
              <w:t xml:space="preserve">Անհատ ձեռնարկատերերի (ԱՁ) համար հասանելի է ծառայությունների ամբողջական շրջանակը, ներառյալ՝ գրանցում, փոփոխությունների իրականացում, գործունեության կասեցում և վերագրանցում։ Նշված ծառայությունները լիարժեք հասանելի են առցանց հարթակում՝ հնարավորություն տալով օգտատերերին թվային եղանակով իրականացնել ԱՁ-ների հաշվառման և կառավարման ամբողջական ցիկլը, գործընթացի իրականացումը թվային եղանակով։ </w:t>
            </w:r>
          </w:p>
          <w:p w14:paraId="5F9A7348" w14:textId="77777777" w:rsidR="00E84E7F" w:rsidRPr="00E84E7F" w:rsidRDefault="00E84E7F" w:rsidP="00E84E7F">
            <w:pPr>
              <w:jc w:val="both"/>
              <w:rPr>
                <w:rStyle w:val="Strong"/>
                <w:rFonts w:ascii="GHEA Grapalat" w:hAnsi="GHEA Grapalat"/>
                <w:b w:val="0"/>
                <w:lang w:val="hy-AM"/>
              </w:rPr>
            </w:pPr>
            <w:r w:rsidRPr="00E84E7F">
              <w:rPr>
                <w:rStyle w:val="Strong"/>
                <w:rFonts w:ascii="GHEA Grapalat" w:hAnsi="GHEA Grapalat"/>
                <w:b w:val="0"/>
                <w:lang w:val="hy-AM"/>
              </w:rPr>
              <w:t>Սահմանափակ պատասխանատվության, ինչպես նաև փակ և բաց բաժնետիրական ընկերությունների գրանցման ծառայությունները նույնպես հասանելի են՝ առցանց։</w:t>
            </w:r>
          </w:p>
          <w:p w14:paraId="434576D6" w14:textId="77777777" w:rsidR="00E84E7F" w:rsidRPr="00E84E7F" w:rsidRDefault="00E84E7F" w:rsidP="00E84E7F">
            <w:pPr>
              <w:jc w:val="both"/>
              <w:rPr>
                <w:rStyle w:val="Strong"/>
                <w:rFonts w:ascii="GHEA Grapalat" w:hAnsi="GHEA Grapalat"/>
                <w:b w:val="0"/>
                <w:lang w:val="hy-AM"/>
              </w:rPr>
            </w:pPr>
            <w:r w:rsidRPr="00E84E7F">
              <w:rPr>
                <w:rStyle w:val="Strong"/>
                <w:rFonts w:ascii="GHEA Grapalat" w:hAnsi="GHEA Grapalat"/>
                <w:b w:val="0"/>
                <w:lang w:val="hy-AM"/>
              </w:rPr>
              <w:t>Ինտեգրված և գործարկված է նաև շահառու սեփականատերերի հայտարարագրման (BO declaration) գործառույթը:</w:t>
            </w:r>
          </w:p>
          <w:p w14:paraId="5AECB5E0" w14:textId="77777777" w:rsidR="00E84E7F" w:rsidRPr="00E84E7F" w:rsidRDefault="00E84E7F" w:rsidP="00E84E7F">
            <w:pPr>
              <w:jc w:val="both"/>
              <w:rPr>
                <w:rStyle w:val="Strong"/>
                <w:rFonts w:ascii="GHEA Grapalat" w:hAnsi="GHEA Grapalat"/>
                <w:b w:val="0"/>
                <w:lang w:val="hy-AM"/>
              </w:rPr>
            </w:pPr>
            <w:r w:rsidRPr="00E84E7F">
              <w:rPr>
                <w:rStyle w:val="Strong"/>
                <w:rFonts w:ascii="GHEA Grapalat" w:hAnsi="GHEA Grapalat"/>
                <w:b w:val="0"/>
                <w:lang w:val="hy-AM"/>
              </w:rPr>
              <w:t>Բացի այդ, ներդրված է վարչական վարույթների նախաձեռնման և ծանուցման ինքնաշխատ գործիքը: Այն հնարավորություն է տալիս իրական ժամանակում վերահսկել այն իրավաբանական անձանց, որոնք չեն կատարել օրենքի 60.3-րդ հոդվածի 5-րդ մասով սահմանված պարտավորությունները։ Համակարգը ինքնաշխատ կերպով գեներացնում է «Վարչական վարույթ հարուցելու մասին որոշում» և ծանուցում է համապատասխան իրավաբանական անձանց գործադիր մարմինների ղեկավարներին։</w:t>
            </w:r>
          </w:p>
          <w:p w14:paraId="38004A7A" w14:textId="0F660A9F" w:rsidR="00084287" w:rsidRPr="00E84E7F" w:rsidRDefault="00E84E7F" w:rsidP="00D75BEA">
            <w:pPr>
              <w:jc w:val="both"/>
              <w:rPr>
                <w:rFonts w:ascii="GHEA Grapalat" w:hAnsi="GHEA Grapalat"/>
                <w:bCs/>
                <w:lang w:val="hy-AM"/>
              </w:rPr>
            </w:pPr>
            <w:r w:rsidRPr="00E84E7F">
              <w:rPr>
                <w:rStyle w:val="Strong"/>
                <w:rFonts w:ascii="GHEA Grapalat" w:hAnsi="GHEA Grapalat"/>
                <w:b w:val="0"/>
                <w:lang w:val="hy-AM"/>
              </w:rPr>
              <w:t xml:space="preserve">Նշված գործիքը հանդիսանում է գործնական նշանակալի քայլ՝ Հայաստանի Հանրապետության </w:t>
            </w:r>
            <w:r w:rsidRPr="00E84E7F">
              <w:rPr>
                <w:rStyle w:val="Strong"/>
                <w:rFonts w:ascii="GHEA Grapalat" w:hAnsi="GHEA Grapalat"/>
                <w:b w:val="0"/>
                <w:lang w:val="hy-AM"/>
              </w:rPr>
              <w:lastRenderedPageBreak/>
              <w:t>կողմից «MONEYVAL» և «GRECO» միջազգային պարտավորությունների կատարման ուղղությամբ։</w:t>
            </w:r>
          </w:p>
        </w:tc>
      </w:tr>
      <w:tr w:rsidR="00EC59EB" w:rsidRPr="0074573F" w14:paraId="5B803EF5" w14:textId="77777777" w:rsidTr="00245EC7">
        <w:trPr>
          <w:trHeight w:val="699"/>
        </w:trPr>
        <w:tc>
          <w:tcPr>
            <w:tcW w:w="720" w:type="dxa"/>
          </w:tcPr>
          <w:p w14:paraId="754838BC" w14:textId="77777777" w:rsidR="00EC59EB" w:rsidRPr="00FE4A11" w:rsidRDefault="00EC59EB" w:rsidP="006459B1">
            <w:pPr>
              <w:pStyle w:val="ListParagraph"/>
              <w:numPr>
                <w:ilvl w:val="0"/>
                <w:numId w:val="1"/>
              </w:numPr>
              <w:jc w:val="both"/>
              <w:rPr>
                <w:rFonts w:ascii="GHEA Grapalat" w:hAnsi="GHEA Grapalat"/>
                <w:b/>
                <w:lang w:val="hy-AM"/>
              </w:rPr>
            </w:pPr>
          </w:p>
        </w:tc>
        <w:tc>
          <w:tcPr>
            <w:tcW w:w="3585" w:type="dxa"/>
          </w:tcPr>
          <w:p w14:paraId="6EB56B2C" w14:textId="77777777" w:rsidR="00EC59EB" w:rsidRPr="00FE4A11" w:rsidRDefault="00E1057D" w:rsidP="00E1057D">
            <w:pPr>
              <w:jc w:val="both"/>
              <w:rPr>
                <w:rFonts w:ascii="GHEA Grapalat" w:hAnsi="GHEA Grapalat"/>
                <w:b/>
                <w:lang w:val="hy-AM"/>
              </w:rPr>
            </w:pPr>
            <w:r w:rsidRPr="00FE4A11">
              <w:rPr>
                <w:rFonts w:ascii="GHEA Grapalat" w:hAnsi="GHEA Grapalat"/>
                <w:b/>
                <w:lang w:val="hy-AM"/>
              </w:rPr>
              <w:t>Նպատակ 4</w:t>
            </w:r>
          </w:p>
          <w:p w14:paraId="40DD5FF6" w14:textId="77777777" w:rsidR="00E1057D" w:rsidRPr="00FE4A11" w:rsidRDefault="00E1057D" w:rsidP="006459B1">
            <w:pPr>
              <w:ind w:right="-171"/>
              <w:jc w:val="both"/>
              <w:rPr>
                <w:rFonts w:ascii="GHEA Grapalat" w:hAnsi="GHEA Grapalat"/>
                <w:lang w:val="hy-AM"/>
              </w:rPr>
            </w:pPr>
            <w:r w:rsidRPr="00FE4A11">
              <w:rPr>
                <w:rFonts w:ascii="GHEA Grapalat" w:hAnsi="GHEA Grapalat"/>
                <w:lang w:val="hy-AM"/>
              </w:rPr>
              <w:t>Դատական համակարգի բարեփոխումների շարունակականության ապահովում</w:t>
            </w:r>
          </w:p>
        </w:tc>
        <w:tc>
          <w:tcPr>
            <w:tcW w:w="4252" w:type="dxa"/>
          </w:tcPr>
          <w:p w14:paraId="07B72647" w14:textId="77777777" w:rsidR="00F87E7B" w:rsidRPr="00FE4A11" w:rsidRDefault="00F87E7B" w:rsidP="00F86C9F">
            <w:pPr>
              <w:jc w:val="both"/>
              <w:rPr>
                <w:rFonts w:ascii="GHEA Grapalat" w:hAnsi="GHEA Grapalat"/>
                <w:b/>
                <w:lang w:val="hy-AM"/>
              </w:rPr>
            </w:pPr>
            <w:r w:rsidRPr="00FE4A11">
              <w:rPr>
                <w:rFonts w:ascii="GHEA Grapalat" w:hAnsi="GHEA Grapalat"/>
                <w:b/>
                <w:lang w:val="hy-AM"/>
              </w:rPr>
              <w:t>Գործողություն 1</w:t>
            </w:r>
          </w:p>
          <w:p w14:paraId="18443754" w14:textId="77777777" w:rsidR="00E1057D" w:rsidRPr="00FE4A11" w:rsidRDefault="00E1057D" w:rsidP="00F86C9F">
            <w:pPr>
              <w:jc w:val="both"/>
              <w:rPr>
                <w:rFonts w:ascii="GHEA Grapalat" w:hAnsi="GHEA Grapalat"/>
                <w:lang w:val="hy-AM"/>
              </w:rPr>
            </w:pPr>
            <w:r w:rsidRPr="00FE4A11">
              <w:rPr>
                <w:rFonts w:ascii="GHEA Grapalat" w:hAnsi="GHEA Grapalat"/>
                <w:lang w:val="hy-AM"/>
              </w:rPr>
              <w:t>Ձևավորել մասնագիտացված դատարանների և դատավորների ենթամասնագիտացումների, այդ թվում՝ փոքր հայցապահանջներ քննող, ինչպես նաև առանձին տեսակի վարչական գործեր քննող դատավորների, զինվորական տրիբունալի և մասնագիտացված այլ դատարանների ստեղծման հայեցակարգ</w:t>
            </w:r>
          </w:p>
          <w:p w14:paraId="0C0B5A93" w14:textId="77777777" w:rsidR="006459B1" w:rsidRPr="00FE4A11" w:rsidRDefault="006459B1" w:rsidP="00F86C9F">
            <w:pPr>
              <w:jc w:val="both"/>
              <w:rPr>
                <w:rFonts w:ascii="GHEA Grapalat" w:hAnsi="GHEA Grapalat"/>
                <w:lang w:val="hy-AM"/>
              </w:rPr>
            </w:pPr>
          </w:p>
          <w:p w14:paraId="2A9E70B3" w14:textId="77777777" w:rsidR="006459B1" w:rsidRPr="00FE4A11" w:rsidRDefault="006459B1" w:rsidP="00F86C9F">
            <w:pPr>
              <w:jc w:val="both"/>
              <w:rPr>
                <w:rFonts w:ascii="GHEA Grapalat" w:hAnsi="GHEA Grapalat"/>
                <w:lang w:val="hy-AM"/>
              </w:rPr>
            </w:pPr>
            <w:r w:rsidRPr="00FE4A11">
              <w:rPr>
                <w:rFonts w:ascii="GHEA Grapalat" w:hAnsi="GHEA Grapalat"/>
                <w:lang w:val="hy-AM"/>
              </w:rPr>
              <w:t>(ժամկետ՝ 2025 թվականի 2-րդ կիսամյակ)</w:t>
            </w:r>
          </w:p>
        </w:tc>
        <w:tc>
          <w:tcPr>
            <w:tcW w:w="5483" w:type="dxa"/>
          </w:tcPr>
          <w:p w14:paraId="168F044E" w14:textId="021ECB53" w:rsidR="00EC59EB" w:rsidRPr="00FE4A11" w:rsidRDefault="00C96BB6" w:rsidP="000E18AC">
            <w:pPr>
              <w:jc w:val="center"/>
              <w:rPr>
                <w:rFonts w:ascii="GHEA Grapalat" w:hAnsi="GHEA Grapalat"/>
                <w:b/>
                <w:lang w:val="hy-AM"/>
              </w:rPr>
            </w:pPr>
            <w:r w:rsidRPr="00FE4A11">
              <w:rPr>
                <w:rFonts w:ascii="GHEA Grapalat" w:hAnsi="GHEA Grapalat"/>
                <w:b/>
                <w:lang w:val="hy-AM"/>
              </w:rPr>
              <w:t>Կատարված չէ</w:t>
            </w:r>
          </w:p>
          <w:p w14:paraId="726ADF07" w14:textId="77777777" w:rsidR="00C96BB6" w:rsidRPr="00FE4A11" w:rsidRDefault="00C96BB6" w:rsidP="000E18AC">
            <w:pPr>
              <w:jc w:val="center"/>
              <w:rPr>
                <w:rFonts w:ascii="GHEA Grapalat" w:hAnsi="GHEA Grapalat"/>
                <w:b/>
                <w:lang w:val="hy-AM"/>
              </w:rPr>
            </w:pPr>
          </w:p>
          <w:p w14:paraId="4B07239B" w14:textId="77777777" w:rsidR="008F6B84" w:rsidRPr="008F6B84" w:rsidRDefault="000E18AC" w:rsidP="008F6B84">
            <w:pPr>
              <w:jc w:val="both"/>
              <w:rPr>
                <w:rFonts w:ascii="GHEA Grapalat" w:hAnsi="GHEA Grapalat"/>
                <w:lang w:val="hy-AM"/>
              </w:rPr>
            </w:pPr>
            <w:r w:rsidRPr="00FE4A11">
              <w:rPr>
                <w:rFonts w:ascii="GHEA Grapalat" w:hAnsi="GHEA Grapalat"/>
                <w:lang w:val="hy-AM"/>
              </w:rPr>
              <w:t xml:space="preserve">Ազգային ժողովի կողմից 2023 թվականի հունիսի 26-ին ընդունվել է  «Նոտարիատի մասին» օրենքում լրացումներ և փոփոխություն կատարելու մաuին ՀՕ-226-Ն օրենքի և հարակից օրենքների նախագծերի փաթեթը, որով ընդհանուր իրավասության դատարանին ենթակա վճարման կարգադրություն արձակելու և պարզեցված վարույթի կարգով քննվող որոշ քաղաքացիական գործեր հանձնվելու են նոտարների իրավասությանը: Նոտարների իրավասությանը վերապահել են միայն այն քաղաքացիական գործերը, որոնցով գումարի բռնագանձման պահանջը չի գերազանցում 2 միլիոն դրամը: Ընդ որում, նոտարին նշված պահանջով դիմում կարող են ներկայացնել միայն բանկերը, վարկային կազմակերպությունները, ինչպես նաև կոմունալ ծառայությունների` էներգետիկայի, ջրային և հեռահաղորդակցության ոլորտներում ծառայություն մատուցող անձինք՝ իրենց և սպառողների միջև կնքված պայմանագրերի հիման վրա: </w:t>
            </w:r>
            <w:r w:rsidR="008F6B84" w:rsidRPr="008F6B84">
              <w:rPr>
                <w:rFonts w:ascii="GHEA Grapalat" w:hAnsi="GHEA Grapalat"/>
                <w:lang w:val="hy-AM"/>
              </w:rPr>
              <w:t xml:space="preserve">Կատարված փոփոխությունների արդյունքում 2023 թվականի դեկտեմբերի 11-ից վերը նշված գործերը քննվում են նոտարների կողմից կամ վերապահվում վեճերի այլընտրանքային լուծման եղանակներին, օրինակ՝ արբիտրաժին, որը իր ազդեցությունն է ունեցել դատարանների բեռնաթափման և դատավորների վարույթում </w:t>
            </w:r>
            <w:r w:rsidR="008F6B84" w:rsidRPr="008F6B84">
              <w:rPr>
                <w:rFonts w:ascii="GHEA Grapalat" w:hAnsi="GHEA Grapalat"/>
                <w:lang w:val="hy-AM"/>
              </w:rPr>
              <w:lastRenderedPageBreak/>
              <w:t>գտնվող գործերի ողջամիտ ժամկետում քննության ապահովման վրա:</w:t>
            </w:r>
          </w:p>
          <w:p w14:paraId="6BEDC48D" w14:textId="77777777" w:rsidR="008F6B84" w:rsidRPr="008F6B84" w:rsidRDefault="008F6B84" w:rsidP="008F6B84">
            <w:pPr>
              <w:jc w:val="both"/>
              <w:rPr>
                <w:rFonts w:ascii="GHEA Grapalat" w:hAnsi="GHEA Grapalat"/>
                <w:lang w:val="hy-AM"/>
              </w:rPr>
            </w:pPr>
            <w:r w:rsidRPr="008F6B84">
              <w:rPr>
                <w:rFonts w:ascii="GHEA Grapalat" w:hAnsi="GHEA Grapalat"/>
                <w:lang w:val="hy-AM"/>
              </w:rPr>
              <w:t xml:space="preserve">Մասնավորապես՝ 2020-2023 թվականների ընթացքում ընդհանուր իրավասության դատարան ներկայացված պահանջների էական մեծամասնությունը կազմել են գումարի բռնագանձման մասին գործերը միայն։ Օրինակ՝ 2020 թվականին ընդհանուր իրավասության դատարան մուտքագրված 104,465 գործերից 92,543-ը, 2021 թվականին՝ 164,187 գործերից 150,923-ը, 2022 թվականին՝ 172,476 գործերից 151,683-ը և 2023 թվականին ստացված </w:t>
            </w:r>
            <w:r w:rsidRPr="008F6B84">
              <w:rPr>
                <w:rFonts w:ascii="GHEA Grapalat" w:hAnsi="GHEA Grapalat"/>
                <w:bCs/>
                <w:lang w:val="hy-AM"/>
              </w:rPr>
              <w:t>159,829 գործերից 147,827-ը</w:t>
            </w:r>
            <w:r w:rsidRPr="008F6B84">
              <w:rPr>
                <w:rFonts w:ascii="GHEA Grapalat" w:hAnsi="GHEA Grapalat"/>
                <w:lang w:val="hy-AM"/>
              </w:rPr>
              <w:t xml:space="preserve"> եղել են գումարի բռնագանձման  պահանջի մասին:</w:t>
            </w:r>
            <w:r w:rsidRPr="008F6B84">
              <w:rPr>
                <w:rFonts w:ascii="GHEA Grapalat" w:hAnsi="GHEA Grapalat"/>
                <w:bCs/>
                <w:lang w:val="hy-AM"/>
              </w:rPr>
              <w:t xml:space="preserve"> </w:t>
            </w:r>
            <w:r w:rsidRPr="008F6B84">
              <w:rPr>
                <w:rFonts w:ascii="GHEA Grapalat" w:hAnsi="GHEA Grapalat"/>
                <w:lang w:val="hy-AM"/>
              </w:rPr>
              <w:t>Ստացվում էր այնպես, որ գումարի բռնագանձման պահանջով հայցադիմումները կազմում են դատարանների ծանրաբեռնվածության 90 տոկոսից ավելին:</w:t>
            </w:r>
          </w:p>
          <w:p w14:paraId="552FEBEC" w14:textId="7BF86019" w:rsidR="000E18AC" w:rsidRPr="008F6B84" w:rsidRDefault="008F6B84" w:rsidP="000E18AC">
            <w:pPr>
              <w:jc w:val="both"/>
              <w:rPr>
                <w:rFonts w:ascii="GHEA Grapalat" w:hAnsi="GHEA Grapalat"/>
                <w:bCs/>
                <w:lang w:val="hy-AM"/>
              </w:rPr>
            </w:pPr>
            <w:r w:rsidRPr="008F6B84">
              <w:rPr>
                <w:rFonts w:ascii="GHEA Grapalat" w:hAnsi="GHEA Grapalat"/>
                <w:bCs/>
                <w:lang w:val="hy-AM"/>
              </w:rPr>
              <w:t>Կատարված բարեփոխումներից հետո առաջին ատյանի ընդհանուր իրավասության քաղաքացիական դատարան 2024 թվականի ընթացքում ներկայացվել է 26.710 քաղաքացիական գործ, իսկ 2025 թվականի ընթացքում՝ 29.633 քաղաքացիական գործ:</w:t>
            </w:r>
          </w:p>
          <w:p w14:paraId="07729448" w14:textId="77777777" w:rsidR="000E18AC" w:rsidRPr="00FE4A11" w:rsidRDefault="000E18AC" w:rsidP="000E18AC">
            <w:pPr>
              <w:jc w:val="both"/>
              <w:rPr>
                <w:rFonts w:ascii="GHEA Grapalat" w:hAnsi="GHEA Grapalat"/>
                <w:lang w:val="hy-AM"/>
              </w:rPr>
            </w:pPr>
            <w:r w:rsidRPr="00FE4A11">
              <w:rPr>
                <w:rFonts w:ascii="GHEA Grapalat" w:hAnsi="GHEA Grapalat"/>
                <w:lang w:val="hy-AM"/>
              </w:rPr>
              <w:t>Այսինքն, նշված օրենսդրական բարեփոխումից հետո այլևս բացակայում է միայն փոքր հայցապահանջներ քննող դատարանների ստեղծման անհրաժեշտությունը:</w:t>
            </w:r>
          </w:p>
          <w:p w14:paraId="51AF32A5" w14:textId="77777777" w:rsidR="000E18AC" w:rsidRPr="00FE4A11" w:rsidRDefault="000E18AC" w:rsidP="000E18AC">
            <w:pPr>
              <w:jc w:val="both"/>
              <w:rPr>
                <w:rFonts w:ascii="GHEA Grapalat" w:hAnsi="GHEA Grapalat"/>
                <w:lang w:val="hy-AM"/>
              </w:rPr>
            </w:pPr>
            <w:r w:rsidRPr="00FE4A11">
              <w:rPr>
                <w:rFonts w:ascii="GHEA Grapalat" w:hAnsi="GHEA Grapalat"/>
                <w:lang w:val="hy-AM"/>
              </w:rPr>
              <w:t xml:space="preserve">Ինչ վերաբերում է առանձին տեսակի վարչական գործեր քննող դատավորների ենթամասնագիտացումների ստեղծմանը, ապա, </w:t>
            </w:r>
            <w:r w:rsidRPr="00FE4A11">
              <w:rPr>
                <w:rFonts w:ascii="GHEA Grapalat" w:hAnsi="GHEA Grapalat"/>
                <w:lang w:val="hy-AM"/>
              </w:rPr>
              <w:lastRenderedPageBreak/>
              <w:t>քանի որ նշված միջոցառումը առավելապես նախատեսված է եղել վարչական դատարանների ծանրաբեռնվածության բեռնաթափման նպատակով, թեև Արդարադատության նախարարության կողմից չի մշակվել վարչական դատարանի դատավորների ենթամասնագիտացումներ նախատեսելու հայեցակարգ, սակայն, մի շարք միջոցառումներ են նախատեսվել, որոնք ուղղված են եղել վարչական դատարանի ծանրաբեռնվածության թոթափմանը: Մասնավորապես, 2024 թվականի մայիսի 2-ին Ազգային ժողովի կողմից ընդունվել է «Վարչական դատավարության օրենսգրքում փոփոխություններ և լրացումներ կատարելու մասին» թիվ ՀՕ-220-Ն օրենքը (այսուհետ՝ Օրենք), որով.</w:t>
            </w:r>
          </w:p>
          <w:p w14:paraId="4936CF63" w14:textId="77777777" w:rsidR="000E18AC" w:rsidRPr="00FE4A11" w:rsidRDefault="000E18AC" w:rsidP="000E18AC">
            <w:pPr>
              <w:jc w:val="both"/>
              <w:rPr>
                <w:rFonts w:ascii="GHEA Grapalat" w:hAnsi="GHEA Grapalat"/>
                <w:lang w:val="hy-AM"/>
              </w:rPr>
            </w:pPr>
            <w:r w:rsidRPr="00FE4A11">
              <w:rPr>
                <w:rFonts w:ascii="GHEA Grapalat" w:hAnsi="GHEA Grapalat"/>
                <w:lang w:val="hy-AM"/>
              </w:rPr>
              <w:t>1. Նախատեսվել են արագացված դատաքննության կարգի և ժամկետների ավելի մանրամասն կանոններ, սահմանելով, թե որ պահից է դատարանն անցնում դատական ակտ կայացնելու, երբ պետք է հրապարակվի դատական ակտը:</w:t>
            </w:r>
          </w:p>
          <w:p w14:paraId="56BEF4EF" w14:textId="77777777" w:rsidR="000E18AC" w:rsidRPr="00FE4A11" w:rsidRDefault="000E18AC" w:rsidP="000E18AC">
            <w:pPr>
              <w:jc w:val="both"/>
              <w:rPr>
                <w:rFonts w:ascii="GHEA Grapalat" w:hAnsi="GHEA Grapalat"/>
                <w:lang w:val="hy-AM"/>
              </w:rPr>
            </w:pPr>
            <w:r w:rsidRPr="00FE4A11">
              <w:rPr>
                <w:rFonts w:ascii="GHEA Grapalat" w:hAnsi="GHEA Grapalat"/>
                <w:lang w:val="hy-AM"/>
              </w:rPr>
              <w:t>2. Սահմանվել են հստակ ժամկետներ միջանկյալ դատական ակտերի դեմ բերված վճռաբեկ բողոքները քննելու համար, այն է՝ վարույթ ընդունելուց հետո` երկու ամսվա ընթացքում:</w:t>
            </w:r>
          </w:p>
          <w:p w14:paraId="76C76B35" w14:textId="77777777" w:rsidR="000E18AC" w:rsidRPr="00FE4A11" w:rsidRDefault="000E18AC" w:rsidP="000E18AC">
            <w:pPr>
              <w:jc w:val="both"/>
              <w:rPr>
                <w:rFonts w:ascii="GHEA Grapalat" w:hAnsi="GHEA Grapalat"/>
                <w:lang w:val="hy-AM"/>
              </w:rPr>
            </w:pPr>
            <w:r w:rsidRPr="00FE4A11">
              <w:rPr>
                <w:rFonts w:ascii="GHEA Grapalat" w:hAnsi="GHEA Grapalat"/>
                <w:lang w:val="hy-AM"/>
              </w:rPr>
              <w:t xml:space="preserve">3. Դատավարության մասնակիցները, Վարչական դատավարության օրենսգրքի 117-րդ հոդվածի 1.1-ին հոդվածով նախատեսված գործերով սահմանված կարգով և ժամկետներում ապացույցներ չներկայացնելու դեպքում հնարավորություն չունի </w:t>
            </w:r>
            <w:r w:rsidRPr="00FE4A11">
              <w:rPr>
                <w:rFonts w:ascii="GHEA Grapalat" w:hAnsi="GHEA Grapalat"/>
                <w:lang w:val="hy-AM"/>
              </w:rPr>
              <w:lastRenderedPageBreak/>
              <w:t>դրանք ներկայացնելու Վերաքննիչ վարչական դատարանի քննությանը:</w:t>
            </w:r>
          </w:p>
          <w:p w14:paraId="5F066AC4" w14:textId="4CB67ABB" w:rsidR="000E18AC" w:rsidRPr="00FE4A11" w:rsidRDefault="000E18AC" w:rsidP="000E18AC">
            <w:pPr>
              <w:jc w:val="both"/>
              <w:rPr>
                <w:rFonts w:ascii="GHEA Grapalat" w:hAnsi="GHEA Grapalat"/>
                <w:lang w:val="hy-AM"/>
              </w:rPr>
            </w:pPr>
            <w:r w:rsidRPr="00FE4A11">
              <w:rPr>
                <w:rFonts w:ascii="GHEA Grapalat" w:hAnsi="GHEA Grapalat"/>
                <w:lang w:val="hy-AM"/>
              </w:rPr>
              <w:t>4. Օրենքով, ինչպես նաև  «Քաղաքացիական դատավարության օրենսգրքում փոփոխություն և լրացումներ կատարելու մասին» թիվ ՀՕ-222-Ն և «Տեխնիկական կանոնակարգման մասին օրենքում փոփոխություն կատարելու մասին» թիվ ՀՕ-223-Ն օրենքներում կատարված փոփոխությունների արդյունքում Վարչական դատարանի  քննության ենթակայությունից 2025 թվականի հունվարի 1-ից դուրս են եկել նաև հանրային կամ այլընտրանքային ծառայության անցնելու, այն իրականացնելու, ծառայությունից ազատելու հետ կապված, ինչպես նաև նոտարի գործողությունների իրավաչափությունը վիճարկելու և «Տեխնիկական կանոնակարգման մասին» օրենքով նախատեսված վեճերը և դրանց քննությունը վերապահվել է ընդհանուր իրավասության դատարանին:</w:t>
            </w:r>
          </w:p>
          <w:p w14:paraId="143AD20C" w14:textId="237D2731" w:rsidR="000E18AC" w:rsidRPr="00FE4A11" w:rsidRDefault="00933578" w:rsidP="000E18AC">
            <w:pPr>
              <w:jc w:val="both"/>
              <w:rPr>
                <w:rFonts w:ascii="GHEA Grapalat" w:hAnsi="GHEA Grapalat"/>
                <w:lang w:val="hy-AM"/>
              </w:rPr>
            </w:pPr>
            <w:r>
              <w:rPr>
                <w:rFonts w:ascii="GHEA Grapalat" w:hAnsi="GHEA Grapalat"/>
                <w:lang w:val="hy-AM"/>
              </w:rPr>
              <w:t xml:space="preserve">Ազգային ժողովի կողմից 2026 թվականի մարտին ընդունվել </w:t>
            </w:r>
            <w:r w:rsidR="003C6213">
              <w:rPr>
                <w:rFonts w:ascii="GHEA Grapalat" w:hAnsi="GHEA Grapalat"/>
                <w:lang w:val="hy-AM"/>
              </w:rPr>
              <w:t>են</w:t>
            </w:r>
            <w:r>
              <w:rPr>
                <w:rFonts w:ascii="GHEA Grapalat" w:hAnsi="GHEA Grapalat"/>
                <w:lang w:val="hy-AM"/>
              </w:rPr>
              <w:t xml:space="preserve"> </w:t>
            </w:r>
            <w:r w:rsidR="000E18AC" w:rsidRPr="00FE4A11">
              <w:rPr>
                <w:rFonts w:ascii="GHEA Grapalat" w:hAnsi="GHEA Grapalat"/>
                <w:lang w:val="hy-AM"/>
              </w:rPr>
              <w:t>«Հայաստանի Հանրապետության քաղաքացիական դատավարության օրենսգրքում լրացումներ և փոփոխություններ կատարելու մասին</w:t>
            </w:r>
            <w:r w:rsidR="00BB3975">
              <w:rPr>
                <w:rFonts w:ascii="GHEA Grapalat" w:hAnsi="GHEA Grapalat"/>
                <w:lang w:val="hy-AM"/>
              </w:rPr>
              <w:t xml:space="preserve">» և </w:t>
            </w:r>
            <w:r w:rsidR="000E18AC" w:rsidRPr="00FE4A11">
              <w:rPr>
                <w:rFonts w:ascii="GHEA Grapalat" w:hAnsi="GHEA Grapalat"/>
                <w:lang w:val="hy-AM"/>
              </w:rPr>
              <w:t xml:space="preserve">«Հայաստանի Հանրապետության վարչական դատավարության օրենսգրքում լրացումներ և փոփոխություններ կատարելու մասին» </w:t>
            </w:r>
            <w:r w:rsidR="00BB3975">
              <w:rPr>
                <w:rFonts w:ascii="GHEA Grapalat" w:hAnsi="GHEA Grapalat"/>
                <w:lang w:val="hy-AM"/>
              </w:rPr>
              <w:t>օրենքները</w:t>
            </w:r>
            <w:r w:rsidR="000E18AC" w:rsidRPr="00FE4A11">
              <w:rPr>
                <w:rFonts w:ascii="GHEA Grapalat" w:hAnsi="GHEA Grapalat"/>
                <w:lang w:val="hy-AM"/>
              </w:rPr>
              <w:t xml:space="preserve">, որոնցով նախատեսվել է Վարչական դատարանի կազմը փոխվելու կամ դատական կազմում փոփոխության դեպքերում գործի (վերաքննիչ բողոքի) քննությունն ընդհատման պահից շարունակելու, իսկ </w:t>
            </w:r>
            <w:r w:rsidR="000E18AC" w:rsidRPr="00FE4A11">
              <w:rPr>
                <w:rFonts w:ascii="GHEA Grapalat" w:hAnsi="GHEA Grapalat"/>
                <w:lang w:val="hy-AM"/>
              </w:rPr>
              <w:lastRenderedPageBreak/>
              <w:t>դատաքննությունն ավարտված լինելու դեպքում՝ դատաքննության փուլից վերսկսելու կանոն, որից հնարավոր է շեղվել և գործի (վերաքննիչ բողոքի) քննությունն սկսել սկզբից միայն անհրաժեշտության դեպքում: Միաժամանակ, նախատեսվել է դատական կազմի փոփոխության դեպքում դատական նիստում նախկինում հետազոտված ապացույցները նորից չհետազոտելու և կողմերի համաձայնությամբ դրանք հետազոտված համարելու մասին կանոն</w:t>
            </w:r>
            <w:r w:rsidR="003C6213">
              <w:rPr>
                <w:rFonts w:ascii="GHEA Grapalat" w:hAnsi="GHEA Grapalat"/>
                <w:lang w:val="hy-AM"/>
              </w:rPr>
              <w:t>:</w:t>
            </w:r>
          </w:p>
          <w:p w14:paraId="71F2E6D4" w14:textId="77777777" w:rsidR="000E18AC" w:rsidRPr="0074573F" w:rsidRDefault="003C6213" w:rsidP="009E3560">
            <w:pPr>
              <w:jc w:val="both"/>
              <w:rPr>
                <w:rFonts w:ascii="GHEA Grapalat" w:hAnsi="GHEA Grapalat"/>
                <w:lang w:val="hy-AM"/>
              </w:rPr>
            </w:pPr>
            <w:r>
              <w:rPr>
                <w:rFonts w:ascii="GHEA Grapalat" w:hAnsi="GHEA Grapalat"/>
                <w:lang w:val="hy-AM"/>
              </w:rPr>
              <w:t xml:space="preserve">Ինչպես նաև </w:t>
            </w:r>
            <w:r w:rsidR="009E3560">
              <w:rPr>
                <w:rFonts w:ascii="GHEA Grapalat" w:hAnsi="GHEA Grapalat"/>
                <w:lang w:val="hy-AM"/>
              </w:rPr>
              <w:t xml:space="preserve">2026 թվականի մարտին </w:t>
            </w:r>
            <w:r w:rsidR="000E18AC" w:rsidRPr="00FE4A11">
              <w:rPr>
                <w:rFonts w:ascii="GHEA Grapalat" w:hAnsi="GHEA Grapalat"/>
                <w:lang w:val="hy-AM"/>
              </w:rPr>
              <w:t>«Հայաստանի Հանրապետության վարչական դատավարության օրենսգրքում լրացումներ և փոփոխություններ կատարելու մասին» և «Վարչական իրավախախտումների վերաբերյալ Հայաստանի Հանրապետության օրենսգրքում փոփոխություն և լրացումներ կատարելու մասին» օրենքների նախագծերը, որոնցով լուծվել են վարչական արդարադատության ոլորտում հավաքագրված խնդիրները, գործնականում ի հայտ եկած օրենսդրական բացերը և անորոշությունները, ինչպես նաև ներդրվել են արդյունավետ և ճկուն դատավարական գործիքակազմեր</w:t>
            </w:r>
            <w:r w:rsidR="009E3560">
              <w:rPr>
                <w:rFonts w:ascii="GHEA Grapalat" w:hAnsi="GHEA Grapalat"/>
                <w:lang w:val="hy-AM"/>
              </w:rPr>
              <w:t xml:space="preserve">, ինչպես նաև ընդունվել են </w:t>
            </w:r>
            <w:r w:rsidR="000E18AC" w:rsidRPr="00FE4A11">
              <w:rPr>
                <w:rFonts w:ascii="GHEA Grapalat" w:hAnsi="GHEA Grapalat"/>
                <w:lang w:val="hy-AM"/>
              </w:rPr>
              <w:t xml:space="preserve">«Հայաստանի Հանրապետության վարչական  դատավարության օրենսգրքում փոփոխություններ և լրացումներ կատարելու մասին» և «Հայաստանի Հանրապետության  քաղաքացիական դատավարության օրենսգրքում փոփոխություններ և լրացում կատարելու մասին»  </w:t>
            </w:r>
            <w:r w:rsidR="009E3560">
              <w:rPr>
                <w:rFonts w:ascii="GHEA Grapalat" w:hAnsi="GHEA Grapalat"/>
                <w:lang w:val="hy-AM"/>
              </w:rPr>
              <w:t xml:space="preserve">օրենքները </w:t>
            </w:r>
            <w:r w:rsidR="000E18AC" w:rsidRPr="00FE4A11">
              <w:rPr>
                <w:rFonts w:ascii="GHEA Grapalat" w:hAnsi="GHEA Grapalat"/>
                <w:lang w:val="hy-AM"/>
              </w:rPr>
              <w:t xml:space="preserve">որոնցով սահմանափակվել է վարչական </w:t>
            </w:r>
            <w:r w:rsidR="000E18AC" w:rsidRPr="00FE4A11">
              <w:rPr>
                <w:rFonts w:ascii="GHEA Grapalat" w:hAnsi="GHEA Grapalat"/>
                <w:lang w:val="hy-AM"/>
              </w:rPr>
              <w:lastRenderedPageBreak/>
              <w:t xml:space="preserve">մարմինների կողմից այն վարչական ակտերի վիճարկման պահանջով կայացված դատական ակտերի դեմ վերաքննիչ բողոք ներկայացնելը, որոնցով առաջադրվել է կամ որոնց հիման վրա ծագել է նվազագույն աշխատավարձի երեքհարյուրապատիկը չգերազանցող դրամական </w:t>
            </w:r>
            <w:bookmarkStart w:id="0" w:name="_GoBack"/>
            <w:bookmarkEnd w:id="0"/>
            <w:r w:rsidR="000E18AC" w:rsidRPr="0074573F">
              <w:rPr>
                <w:rFonts w:ascii="GHEA Grapalat" w:hAnsi="GHEA Grapalat"/>
                <w:lang w:val="hy-AM"/>
              </w:rPr>
              <w:t>պարտավորություն։</w:t>
            </w:r>
          </w:p>
          <w:p w14:paraId="1B565ED1" w14:textId="24995483" w:rsidR="001E633A" w:rsidRPr="00E269F1" w:rsidRDefault="001E633A" w:rsidP="009E3560">
            <w:pPr>
              <w:jc w:val="both"/>
              <w:rPr>
                <w:rFonts w:ascii="GHEA Grapalat" w:hAnsi="GHEA Grapalat"/>
                <w:lang w:val="hy-AM"/>
              </w:rPr>
            </w:pPr>
            <w:r w:rsidRPr="0074573F">
              <w:rPr>
                <w:rFonts w:ascii="GHEA Grapalat" w:hAnsi="GHEA Grapalat"/>
                <w:lang w:val="hy-AM"/>
              </w:rPr>
              <w:t>Հարկ է նշել նաև, որ Վարչապետի հանձնարարությամբ սույն միջոցառման շրջանակում  մշակվել է «Փոքր հայցապահանջներ քննող, ինչպես նաև առանձին տեսակի վարչական գործեր քննող դատավորների, զինվորական տրիբունալի և մասնագիտացված այլ դատարանների ստեղծման հայեցակարգի ձևավորման նպատակահարմարության վերաբերյալ» զեկույցը, որը ներկայացվել է Վարչապետի աշխատակազմ և զեկուցվել Վարչապետին: Վարչապետի կողմից զեկույցի շրջանակում ներկայացված կատարված աշխատանքները գնահատվել են դրական:</w:t>
            </w:r>
          </w:p>
        </w:tc>
      </w:tr>
      <w:tr w:rsidR="00EC59EB" w:rsidRPr="0074573F" w14:paraId="61897640" w14:textId="77777777" w:rsidTr="00DD3CE0">
        <w:tc>
          <w:tcPr>
            <w:tcW w:w="720" w:type="dxa"/>
          </w:tcPr>
          <w:p w14:paraId="61FC1E56" w14:textId="77777777" w:rsidR="00EC59EB" w:rsidRPr="00FE4A11" w:rsidRDefault="00EC59EB" w:rsidP="006459B1">
            <w:pPr>
              <w:pStyle w:val="ListParagraph"/>
              <w:numPr>
                <w:ilvl w:val="0"/>
                <w:numId w:val="1"/>
              </w:numPr>
              <w:jc w:val="both"/>
              <w:rPr>
                <w:rFonts w:ascii="GHEA Grapalat" w:hAnsi="GHEA Grapalat"/>
                <w:b/>
                <w:lang w:val="hy-AM"/>
              </w:rPr>
            </w:pPr>
          </w:p>
        </w:tc>
        <w:tc>
          <w:tcPr>
            <w:tcW w:w="3585" w:type="dxa"/>
          </w:tcPr>
          <w:p w14:paraId="2024A136" w14:textId="77777777" w:rsidR="00F76B7E" w:rsidRPr="00FE4A11" w:rsidRDefault="00F76B7E" w:rsidP="00F76B7E">
            <w:pPr>
              <w:jc w:val="both"/>
              <w:rPr>
                <w:rFonts w:ascii="GHEA Grapalat" w:hAnsi="GHEA Grapalat"/>
                <w:b/>
                <w:lang w:val="hy-AM"/>
              </w:rPr>
            </w:pPr>
            <w:r w:rsidRPr="00FE4A11">
              <w:rPr>
                <w:rFonts w:ascii="GHEA Grapalat" w:hAnsi="GHEA Grapalat"/>
                <w:b/>
                <w:lang w:val="hy-AM"/>
              </w:rPr>
              <w:t>Նպատակ 6</w:t>
            </w:r>
          </w:p>
          <w:p w14:paraId="38495189" w14:textId="77777777" w:rsidR="00F76B7E" w:rsidRPr="00FE4A11" w:rsidRDefault="00F76B7E" w:rsidP="00F76B7E">
            <w:pPr>
              <w:jc w:val="both"/>
              <w:rPr>
                <w:rFonts w:ascii="GHEA Grapalat" w:hAnsi="GHEA Grapalat"/>
                <w:lang w:val="hy-AM"/>
              </w:rPr>
            </w:pPr>
            <w:r w:rsidRPr="00FE4A11">
              <w:rPr>
                <w:rFonts w:ascii="GHEA Grapalat" w:hAnsi="GHEA Grapalat"/>
                <w:lang w:val="hy-AM"/>
              </w:rPr>
              <w:t>Քաղաքացիական իրավահարաբերությունների կարգավորումը և դրանց դատական պաշտպանության հնարավորությունները առավելապես զարգացած են</w:t>
            </w:r>
          </w:p>
        </w:tc>
        <w:tc>
          <w:tcPr>
            <w:tcW w:w="4252" w:type="dxa"/>
          </w:tcPr>
          <w:p w14:paraId="6FC9C218" w14:textId="77777777" w:rsidR="00F87E7B" w:rsidRPr="00FE4A11" w:rsidRDefault="00F87E7B" w:rsidP="00F87E7B">
            <w:pPr>
              <w:jc w:val="both"/>
              <w:rPr>
                <w:rFonts w:ascii="GHEA Grapalat" w:hAnsi="GHEA Grapalat"/>
                <w:b/>
                <w:lang w:val="hy-AM"/>
              </w:rPr>
            </w:pPr>
            <w:r w:rsidRPr="00FE4A11">
              <w:rPr>
                <w:rFonts w:ascii="GHEA Grapalat" w:hAnsi="GHEA Grapalat"/>
                <w:b/>
                <w:lang w:val="hy-AM"/>
              </w:rPr>
              <w:t>Գործողություն 4</w:t>
            </w:r>
          </w:p>
          <w:p w14:paraId="2A27FDF1" w14:textId="77777777" w:rsidR="00EC59EB" w:rsidRPr="00FE4A11" w:rsidRDefault="00F87E7B" w:rsidP="00F87E7B">
            <w:pPr>
              <w:jc w:val="both"/>
              <w:rPr>
                <w:rFonts w:ascii="GHEA Grapalat" w:hAnsi="GHEA Grapalat"/>
                <w:lang w:val="hy-AM"/>
              </w:rPr>
            </w:pPr>
            <w:r w:rsidRPr="00FE4A11">
              <w:rPr>
                <w:rFonts w:ascii="GHEA Grapalat" w:hAnsi="GHEA Grapalat"/>
                <w:lang w:val="hy-AM"/>
              </w:rPr>
              <w:t>Առևտրային կազմակերպությունների վերաբերյալ իրավակարգավորումները համապատասխանեցնել կորպորատիվ իրավունքի ժամանակակից մոտեցումներին</w:t>
            </w:r>
          </w:p>
          <w:p w14:paraId="5B45DDB1" w14:textId="77777777" w:rsidR="004B5996" w:rsidRPr="00FE4A11" w:rsidRDefault="004B5996" w:rsidP="00F87E7B">
            <w:pPr>
              <w:jc w:val="both"/>
              <w:rPr>
                <w:rFonts w:ascii="GHEA Grapalat" w:hAnsi="GHEA Grapalat"/>
                <w:lang w:val="hy-AM"/>
              </w:rPr>
            </w:pPr>
          </w:p>
          <w:p w14:paraId="2256B2A8" w14:textId="77777777" w:rsidR="004B5996" w:rsidRPr="00FE4A11" w:rsidRDefault="004B5996" w:rsidP="004B5996">
            <w:pPr>
              <w:jc w:val="both"/>
              <w:rPr>
                <w:rFonts w:ascii="GHEA Grapalat" w:hAnsi="GHEA Grapalat"/>
                <w:b/>
                <w:lang w:val="hy-AM"/>
              </w:rPr>
            </w:pPr>
            <w:r w:rsidRPr="00FE4A11">
              <w:rPr>
                <w:rFonts w:ascii="GHEA Grapalat" w:hAnsi="GHEA Grapalat"/>
                <w:lang w:val="hy-AM"/>
              </w:rPr>
              <w:t>(ժամկետ՝ 2025 թվականի 1-ին կիսամյակ)</w:t>
            </w:r>
          </w:p>
        </w:tc>
        <w:tc>
          <w:tcPr>
            <w:tcW w:w="5483" w:type="dxa"/>
          </w:tcPr>
          <w:p w14:paraId="0ADAF65F" w14:textId="77777777" w:rsidR="00E87061" w:rsidRPr="00FE4A11" w:rsidRDefault="00E87061" w:rsidP="00E87061">
            <w:pPr>
              <w:jc w:val="center"/>
              <w:rPr>
                <w:rFonts w:ascii="GHEA Grapalat" w:hAnsi="GHEA Grapalat"/>
                <w:b/>
                <w:lang w:val="hy-AM"/>
              </w:rPr>
            </w:pPr>
            <w:r w:rsidRPr="00FE4A11">
              <w:rPr>
                <w:rFonts w:ascii="GHEA Grapalat" w:hAnsi="GHEA Grapalat"/>
                <w:b/>
                <w:lang w:val="hy-AM"/>
              </w:rPr>
              <w:t>Կատարվել է մասամբ</w:t>
            </w:r>
          </w:p>
          <w:p w14:paraId="0D2A5FF9" w14:textId="77777777" w:rsidR="00E87061" w:rsidRPr="00FE4A11" w:rsidRDefault="00E87061" w:rsidP="00E87061">
            <w:pPr>
              <w:jc w:val="both"/>
              <w:rPr>
                <w:rFonts w:ascii="GHEA Grapalat" w:hAnsi="GHEA Grapalat"/>
                <w:b/>
                <w:lang w:val="hy-AM"/>
              </w:rPr>
            </w:pPr>
          </w:p>
          <w:p w14:paraId="7310AB53" w14:textId="46A2924C" w:rsidR="00EC59EB" w:rsidRPr="00FE4A11" w:rsidRDefault="00E87061" w:rsidP="00E87061">
            <w:pPr>
              <w:jc w:val="both"/>
              <w:rPr>
                <w:rFonts w:ascii="GHEA Grapalat" w:hAnsi="GHEA Grapalat"/>
                <w:b/>
                <w:lang w:val="hy-AM"/>
              </w:rPr>
            </w:pPr>
            <w:r w:rsidRPr="00FE4A11">
              <w:rPr>
                <w:rFonts w:ascii="GHEA Grapalat" w:hAnsi="GHEA Grapalat"/>
                <w:lang w:val="hy-AM"/>
              </w:rPr>
              <w:t xml:space="preserve">Արդարադատության նախարարության կողմից, Համաշխարհային բանկի հետ համագործակցությամբ, մշակվել է «Առաջարկներ Հայաստանի Հանրապետության առևտրային կազմակերպությունների իրավական դաշտի բարեփոխումների հայեցակարգի վերաբերյալ» վերտառությամբ «Առևտրային </w:t>
            </w:r>
            <w:r w:rsidRPr="00FE4A11">
              <w:rPr>
                <w:rFonts w:ascii="GHEA Grapalat" w:hAnsi="GHEA Grapalat"/>
                <w:lang w:val="hy-AM"/>
              </w:rPr>
              <w:lastRenderedPageBreak/>
              <w:t>կազմակերպությունների մասին» օրենքի նախագծի հայեցակարգի նախնական տարբերակը</w:t>
            </w:r>
            <w:r w:rsidR="00E84E7F">
              <w:rPr>
                <w:rFonts w:ascii="GHEA Grapalat" w:hAnsi="GHEA Grapalat"/>
                <w:lang w:val="hy-AM"/>
              </w:rPr>
              <w:t>։</w:t>
            </w:r>
          </w:p>
        </w:tc>
      </w:tr>
      <w:tr w:rsidR="00EC59EB" w:rsidRPr="0074573F" w14:paraId="751C2906" w14:textId="77777777" w:rsidTr="00DD3CE0">
        <w:tc>
          <w:tcPr>
            <w:tcW w:w="720" w:type="dxa"/>
          </w:tcPr>
          <w:p w14:paraId="718A730D" w14:textId="77777777" w:rsidR="00EC59EB" w:rsidRPr="00FE4A11" w:rsidRDefault="00EC59EB" w:rsidP="006459B1">
            <w:pPr>
              <w:pStyle w:val="ListParagraph"/>
              <w:numPr>
                <w:ilvl w:val="0"/>
                <w:numId w:val="1"/>
              </w:numPr>
              <w:jc w:val="both"/>
              <w:rPr>
                <w:rFonts w:ascii="GHEA Grapalat" w:hAnsi="GHEA Grapalat"/>
                <w:b/>
                <w:lang w:val="hy-AM"/>
              </w:rPr>
            </w:pPr>
          </w:p>
        </w:tc>
        <w:tc>
          <w:tcPr>
            <w:tcW w:w="3585" w:type="dxa"/>
          </w:tcPr>
          <w:p w14:paraId="676CB8F3" w14:textId="77777777" w:rsidR="0057741B" w:rsidRPr="00FE4A11" w:rsidRDefault="0057741B" w:rsidP="0057741B">
            <w:pPr>
              <w:jc w:val="both"/>
              <w:rPr>
                <w:rFonts w:ascii="GHEA Grapalat" w:hAnsi="GHEA Grapalat"/>
                <w:b/>
                <w:lang w:val="hy-AM"/>
              </w:rPr>
            </w:pPr>
            <w:r w:rsidRPr="00FE4A11">
              <w:rPr>
                <w:rFonts w:ascii="GHEA Grapalat" w:hAnsi="GHEA Grapalat"/>
                <w:b/>
                <w:lang w:val="hy-AM"/>
              </w:rPr>
              <w:t>Նպատակ 8</w:t>
            </w:r>
          </w:p>
          <w:p w14:paraId="51002C9A" w14:textId="77777777" w:rsidR="0057741B" w:rsidRPr="00FE4A11" w:rsidRDefault="0057741B" w:rsidP="0057741B">
            <w:pPr>
              <w:jc w:val="both"/>
              <w:rPr>
                <w:rFonts w:ascii="GHEA Grapalat" w:hAnsi="GHEA Grapalat"/>
                <w:lang w:val="hy-AM"/>
              </w:rPr>
            </w:pPr>
            <w:r w:rsidRPr="00FE4A11">
              <w:rPr>
                <w:rFonts w:ascii="GHEA Grapalat" w:hAnsi="GHEA Grapalat"/>
                <w:lang w:val="hy-AM"/>
              </w:rPr>
              <w:t>Սնանկության ոլորտի բարեփոխումներ</w:t>
            </w:r>
          </w:p>
        </w:tc>
        <w:tc>
          <w:tcPr>
            <w:tcW w:w="4252" w:type="dxa"/>
          </w:tcPr>
          <w:p w14:paraId="0EBBE01F" w14:textId="77777777" w:rsidR="00EC59EB" w:rsidRPr="00FE4A11" w:rsidRDefault="0057741B" w:rsidP="0057741B">
            <w:pPr>
              <w:jc w:val="both"/>
              <w:rPr>
                <w:rFonts w:ascii="GHEA Grapalat" w:hAnsi="GHEA Grapalat"/>
                <w:b/>
                <w:lang w:val="hy-AM"/>
              </w:rPr>
            </w:pPr>
            <w:r w:rsidRPr="00FE4A11">
              <w:rPr>
                <w:rFonts w:ascii="GHEA Grapalat" w:hAnsi="GHEA Grapalat"/>
                <w:b/>
                <w:lang w:val="hy-AM"/>
              </w:rPr>
              <w:t>Գործողություն 2</w:t>
            </w:r>
          </w:p>
          <w:p w14:paraId="5891C660" w14:textId="77777777" w:rsidR="0057741B" w:rsidRPr="00FE4A11" w:rsidRDefault="0057741B" w:rsidP="0057741B">
            <w:pPr>
              <w:jc w:val="both"/>
              <w:rPr>
                <w:rFonts w:ascii="GHEA Grapalat" w:hAnsi="GHEA Grapalat"/>
                <w:lang w:val="hy-AM"/>
              </w:rPr>
            </w:pPr>
            <w:r w:rsidRPr="00FE4A11">
              <w:rPr>
                <w:rFonts w:ascii="GHEA Grapalat" w:hAnsi="GHEA Grapalat"/>
                <w:lang w:val="hy-AM"/>
              </w:rPr>
              <w:t>Հայեցակարգի հիման վրա վեր հանված կարիքների և ուրվագծված խնդիրների համատեքստում սնանկության մասին օրենսդրության մեկ միասնական իրավական ակտի նախագծի մշակում և քննարկում</w:t>
            </w:r>
          </w:p>
          <w:p w14:paraId="6B7424CB" w14:textId="77777777" w:rsidR="004B5996" w:rsidRPr="00FE4A11" w:rsidRDefault="004B5996" w:rsidP="0057741B">
            <w:pPr>
              <w:jc w:val="both"/>
              <w:rPr>
                <w:rFonts w:ascii="GHEA Grapalat" w:hAnsi="GHEA Grapalat"/>
                <w:lang w:val="hy-AM"/>
              </w:rPr>
            </w:pPr>
          </w:p>
          <w:p w14:paraId="61B46A5E" w14:textId="77777777" w:rsidR="004B5996" w:rsidRPr="00FE4A11" w:rsidRDefault="004B5996" w:rsidP="004B5996">
            <w:pPr>
              <w:jc w:val="both"/>
              <w:rPr>
                <w:rFonts w:ascii="GHEA Grapalat" w:hAnsi="GHEA Grapalat"/>
                <w:lang w:val="hy-AM"/>
              </w:rPr>
            </w:pPr>
            <w:r w:rsidRPr="00FE4A11">
              <w:rPr>
                <w:rFonts w:ascii="GHEA Grapalat" w:hAnsi="GHEA Grapalat"/>
                <w:lang w:val="hy-AM"/>
              </w:rPr>
              <w:t>(ժամկետ՝ 2025 թվականի 1-ին կիսամյակ)</w:t>
            </w:r>
          </w:p>
        </w:tc>
        <w:tc>
          <w:tcPr>
            <w:tcW w:w="5483" w:type="dxa"/>
          </w:tcPr>
          <w:p w14:paraId="32C5785F" w14:textId="08FB1260" w:rsidR="00B4420B" w:rsidRPr="00FE4A11" w:rsidRDefault="00B4420B" w:rsidP="00B4420B">
            <w:pPr>
              <w:jc w:val="center"/>
              <w:rPr>
                <w:rFonts w:ascii="GHEA Grapalat" w:hAnsi="GHEA Grapalat"/>
                <w:b/>
                <w:lang w:val="hy-AM"/>
              </w:rPr>
            </w:pPr>
            <w:r w:rsidRPr="00FE4A11">
              <w:rPr>
                <w:rFonts w:ascii="GHEA Grapalat" w:hAnsi="GHEA Grapalat"/>
                <w:b/>
                <w:lang w:val="hy-AM"/>
              </w:rPr>
              <w:t>Կատարված է</w:t>
            </w:r>
          </w:p>
          <w:p w14:paraId="22FC969D" w14:textId="77777777" w:rsidR="00C96BB6" w:rsidRPr="00FE4A11" w:rsidRDefault="00C96BB6" w:rsidP="00B4420B">
            <w:pPr>
              <w:jc w:val="center"/>
              <w:rPr>
                <w:rFonts w:ascii="GHEA Grapalat" w:hAnsi="GHEA Grapalat"/>
                <w:b/>
                <w:lang w:val="hy-AM"/>
              </w:rPr>
            </w:pPr>
          </w:p>
          <w:p w14:paraId="5CA7A762" w14:textId="77777777" w:rsidR="00B4420B" w:rsidRPr="00FE4A11" w:rsidRDefault="00B4420B" w:rsidP="00B4420B">
            <w:pPr>
              <w:jc w:val="both"/>
              <w:rPr>
                <w:rFonts w:ascii="GHEA Grapalat" w:hAnsi="GHEA Grapalat"/>
                <w:lang w:val="hy-AM"/>
              </w:rPr>
            </w:pPr>
            <w:r w:rsidRPr="00FE4A11">
              <w:rPr>
                <w:rFonts w:ascii="GHEA Grapalat" w:hAnsi="GHEA Grapalat"/>
                <w:lang w:val="hy-AM"/>
              </w:rPr>
              <w:t>Մշակվել են Հայաստանի Հանրապետության սնանկության օրենսգրքի և հարակից իրավական ակտերի նախագծերը: Նախագծերի փաթեթը սահմանված կարգով շրջանառվել է շահագրգիռ մարմինների և կազմակերպությունների շրջանակում, ինչպես նաև դրվել է հանրային քննարկման: Նախագիծը արժանացել է Կառավարության հավանությանը և ներկայացվել է Ազգային ժողով:</w:t>
            </w:r>
          </w:p>
          <w:p w14:paraId="26CD3065" w14:textId="77777777" w:rsidR="00B4420B" w:rsidRPr="00FE4A11" w:rsidRDefault="00B4420B" w:rsidP="00B4420B">
            <w:pPr>
              <w:jc w:val="both"/>
              <w:rPr>
                <w:rFonts w:ascii="GHEA Grapalat" w:hAnsi="GHEA Grapalat"/>
                <w:lang w:val="hy-AM"/>
              </w:rPr>
            </w:pPr>
          </w:p>
          <w:p w14:paraId="61618445" w14:textId="28C66BB5" w:rsidR="00EC59EB" w:rsidRPr="00FE4A11" w:rsidRDefault="00B4420B" w:rsidP="00B4420B">
            <w:pPr>
              <w:jc w:val="both"/>
              <w:rPr>
                <w:rFonts w:ascii="GHEA Grapalat" w:hAnsi="GHEA Grapalat"/>
                <w:b/>
                <w:lang w:val="hy-AM"/>
              </w:rPr>
            </w:pPr>
            <w:r w:rsidRPr="00FE4A11">
              <w:rPr>
                <w:rFonts w:ascii="GHEA Grapalat" w:hAnsi="GHEA Grapalat"/>
                <w:lang w:val="hy-AM"/>
              </w:rPr>
              <w:t>Ընդունվել է Կառավարության 2025 թվականի նոյեմբերի 27-ի «Հայաստանի Հանրապետության սնանկության օրենսգրքի և հարակից օրենքների նախագծերին հավանություն տալու մասին»  N 1667-Ա որոշումը:</w:t>
            </w:r>
          </w:p>
        </w:tc>
      </w:tr>
      <w:tr w:rsidR="00EC59EB" w:rsidRPr="0074573F" w14:paraId="69972400" w14:textId="77777777" w:rsidTr="00DD3CE0">
        <w:tc>
          <w:tcPr>
            <w:tcW w:w="720" w:type="dxa"/>
          </w:tcPr>
          <w:p w14:paraId="545EC2D7" w14:textId="77777777" w:rsidR="00EC59EB" w:rsidRPr="00FE4A11" w:rsidRDefault="00EC59EB" w:rsidP="006459B1">
            <w:pPr>
              <w:pStyle w:val="ListParagraph"/>
              <w:numPr>
                <w:ilvl w:val="0"/>
                <w:numId w:val="1"/>
              </w:numPr>
              <w:jc w:val="both"/>
              <w:rPr>
                <w:rFonts w:ascii="GHEA Grapalat" w:hAnsi="GHEA Grapalat"/>
                <w:b/>
                <w:lang w:val="hy-AM"/>
              </w:rPr>
            </w:pPr>
          </w:p>
        </w:tc>
        <w:tc>
          <w:tcPr>
            <w:tcW w:w="3585" w:type="dxa"/>
          </w:tcPr>
          <w:p w14:paraId="52658F17" w14:textId="77777777" w:rsidR="004B5996" w:rsidRPr="00FE4A11" w:rsidRDefault="004B5996" w:rsidP="004B5996">
            <w:pPr>
              <w:jc w:val="both"/>
              <w:rPr>
                <w:rFonts w:ascii="GHEA Grapalat" w:hAnsi="GHEA Grapalat"/>
                <w:b/>
                <w:lang w:val="hy-AM"/>
              </w:rPr>
            </w:pPr>
            <w:r w:rsidRPr="00FE4A11">
              <w:rPr>
                <w:rFonts w:ascii="GHEA Grapalat" w:hAnsi="GHEA Grapalat"/>
                <w:b/>
                <w:lang w:val="hy-AM"/>
              </w:rPr>
              <w:t>Նպատակ 10</w:t>
            </w:r>
          </w:p>
          <w:p w14:paraId="1D2F4F28" w14:textId="77777777" w:rsidR="004B5996" w:rsidRPr="00FE4A11" w:rsidRDefault="004B5996" w:rsidP="004B5996">
            <w:pPr>
              <w:jc w:val="both"/>
              <w:rPr>
                <w:rFonts w:ascii="GHEA Grapalat" w:hAnsi="GHEA Grapalat"/>
                <w:lang w:val="hy-AM"/>
              </w:rPr>
            </w:pPr>
          </w:p>
          <w:p w14:paraId="3AFC774A" w14:textId="77777777" w:rsidR="004B5996" w:rsidRPr="00FE4A11" w:rsidRDefault="004B5996" w:rsidP="004B5996">
            <w:pPr>
              <w:jc w:val="both"/>
              <w:rPr>
                <w:rFonts w:ascii="GHEA Grapalat" w:hAnsi="GHEA Grapalat"/>
                <w:lang w:val="hy-AM"/>
              </w:rPr>
            </w:pPr>
            <w:r w:rsidRPr="00FE4A11">
              <w:rPr>
                <w:rFonts w:ascii="GHEA Grapalat" w:hAnsi="GHEA Grapalat"/>
                <w:lang w:val="hy-AM"/>
              </w:rPr>
              <w:t>Իրավաբանական օգնության ոլորտի բարեփոխումներ</w:t>
            </w:r>
          </w:p>
          <w:p w14:paraId="02792FD9" w14:textId="77777777" w:rsidR="00EC59EB" w:rsidRPr="00FE4A11" w:rsidRDefault="00EC59EB" w:rsidP="005D2D1C">
            <w:pPr>
              <w:jc w:val="center"/>
              <w:rPr>
                <w:rFonts w:ascii="GHEA Grapalat" w:hAnsi="GHEA Grapalat"/>
                <w:b/>
                <w:lang w:val="hy-AM"/>
              </w:rPr>
            </w:pPr>
          </w:p>
        </w:tc>
        <w:tc>
          <w:tcPr>
            <w:tcW w:w="4252" w:type="dxa"/>
          </w:tcPr>
          <w:p w14:paraId="7E2D42C3" w14:textId="77777777" w:rsidR="00EC59EB" w:rsidRPr="00FE4A11" w:rsidRDefault="00F86C9F" w:rsidP="00B4420B">
            <w:pPr>
              <w:rPr>
                <w:rFonts w:ascii="GHEA Grapalat" w:hAnsi="GHEA Grapalat"/>
                <w:b/>
                <w:lang w:val="hy-AM"/>
              </w:rPr>
            </w:pPr>
            <w:r w:rsidRPr="00FE4A11">
              <w:rPr>
                <w:rFonts w:ascii="GHEA Grapalat" w:hAnsi="GHEA Grapalat"/>
                <w:b/>
                <w:lang w:val="hy-AM"/>
              </w:rPr>
              <w:t>Գործողություն 6</w:t>
            </w:r>
          </w:p>
          <w:p w14:paraId="2967361E" w14:textId="77777777" w:rsidR="00F86C9F" w:rsidRPr="00FE4A11" w:rsidRDefault="00F86C9F" w:rsidP="004B5996">
            <w:pPr>
              <w:jc w:val="both"/>
              <w:rPr>
                <w:rFonts w:ascii="GHEA Grapalat" w:hAnsi="GHEA Grapalat"/>
                <w:lang w:val="hy-AM"/>
              </w:rPr>
            </w:pPr>
            <w:r w:rsidRPr="00FE4A11">
              <w:rPr>
                <w:rFonts w:ascii="GHEA Grapalat" w:hAnsi="GHEA Grapalat"/>
                <w:lang w:val="hy-AM"/>
              </w:rPr>
              <w:t>Նախատեսել փաստաբանների պալատի՝ կարգապահական պատասխանատվության ենթարկելու վերաբերյալ որոշումները հատուկ վարույթի շրջանակներում դատական կարգով բողոքարկման ընթացակարգեր</w:t>
            </w:r>
          </w:p>
          <w:p w14:paraId="7793F071" w14:textId="77777777" w:rsidR="00F86C9F" w:rsidRPr="00FE4A11" w:rsidRDefault="00F86C9F" w:rsidP="004B5996">
            <w:pPr>
              <w:jc w:val="both"/>
              <w:rPr>
                <w:rFonts w:ascii="GHEA Grapalat" w:hAnsi="GHEA Grapalat"/>
                <w:lang w:val="hy-AM"/>
              </w:rPr>
            </w:pPr>
          </w:p>
          <w:p w14:paraId="017C0D33" w14:textId="77777777" w:rsidR="00F86C9F" w:rsidRPr="00FE4A11" w:rsidRDefault="00F86C9F" w:rsidP="004B5996">
            <w:pPr>
              <w:jc w:val="both"/>
              <w:rPr>
                <w:rFonts w:ascii="GHEA Grapalat" w:hAnsi="GHEA Grapalat"/>
                <w:lang w:val="hy-AM"/>
              </w:rPr>
            </w:pPr>
            <w:r w:rsidRPr="00FE4A11">
              <w:rPr>
                <w:rFonts w:ascii="GHEA Grapalat" w:hAnsi="GHEA Grapalat"/>
                <w:lang w:val="hy-AM"/>
              </w:rPr>
              <w:t>(ժամկետ՝ 2025 թվականի 2-րդ կիսամյակ)</w:t>
            </w:r>
          </w:p>
        </w:tc>
        <w:tc>
          <w:tcPr>
            <w:tcW w:w="5483" w:type="dxa"/>
          </w:tcPr>
          <w:p w14:paraId="616E93A6" w14:textId="7CDFA62B" w:rsidR="00F21671" w:rsidRPr="00FE4A11" w:rsidRDefault="00B4420B" w:rsidP="00F21671">
            <w:pPr>
              <w:jc w:val="center"/>
              <w:rPr>
                <w:rFonts w:ascii="GHEA Grapalat" w:hAnsi="GHEA Grapalat"/>
                <w:b/>
                <w:lang w:val="hy-AM"/>
              </w:rPr>
            </w:pPr>
            <w:r w:rsidRPr="00FE4A11">
              <w:rPr>
                <w:rFonts w:ascii="GHEA Grapalat" w:hAnsi="GHEA Grapalat"/>
                <w:b/>
                <w:lang w:val="hy-AM"/>
              </w:rPr>
              <w:t>Կատարվ</w:t>
            </w:r>
            <w:r w:rsidR="0036214C">
              <w:rPr>
                <w:rFonts w:ascii="GHEA Grapalat" w:hAnsi="GHEA Grapalat"/>
                <w:b/>
                <w:lang w:val="hy-AM"/>
              </w:rPr>
              <w:t>ած է</w:t>
            </w:r>
          </w:p>
          <w:p w14:paraId="35F51FC1" w14:textId="77777777" w:rsidR="00C96BB6" w:rsidRPr="00FE4A11" w:rsidRDefault="00C96BB6" w:rsidP="00F21671">
            <w:pPr>
              <w:jc w:val="center"/>
              <w:rPr>
                <w:rFonts w:ascii="GHEA Grapalat" w:hAnsi="GHEA Grapalat"/>
                <w:b/>
                <w:lang w:val="hy-AM"/>
              </w:rPr>
            </w:pPr>
          </w:p>
          <w:p w14:paraId="0F13119B" w14:textId="1717E052" w:rsidR="00EC59EB" w:rsidRPr="00DB50A8" w:rsidRDefault="00B4420B" w:rsidP="00D75BEA">
            <w:pPr>
              <w:jc w:val="both"/>
              <w:rPr>
                <w:rFonts w:ascii="GHEA Grapalat" w:hAnsi="GHEA Grapalat"/>
                <w:b/>
                <w:lang w:val="hy-AM"/>
              </w:rPr>
            </w:pPr>
            <w:r w:rsidRPr="00FE4A11">
              <w:rPr>
                <w:rFonts w:ascii="GHEA Grapalat" w:hAnsi="GHEA Grapalat"/>
                <w:lang w:val="hy-AM"/>
              </w:rPr>
              <w:t xml:space="preserve"> </w:t>
            </w:r>
            <w:r w:rsidR="00DB50A8" w:rsidRPr="00DB50A8">
              <w:rPr>
                <w:rFonts w:ascii="GHEA Grapalat" w:hAnsi="GHEA Grapalat"/>
                <w:lang w:val="hy-AM"/>
              </w:rPr>
              <w:t xml:space="preserve">«Հայաստանի Հանրապետության քաղաքացիական դատավարության օրենսգրքում լրացումներ կատարելու մասին», ««Փաստաբանության մասին» օրենքում լրացումներ և փոփոխություններ կատարելու մասին» և «Հայաստանի Հանրապետության քրեական դատավարության օրենսգրքում </w:t>
            </w:r>
            <w:r w:rsidR="00DB50A8" w:rsidRPr="00DB50A8">
              <w:rPr>
                <w:rFonts w:ascii="Calibri" w:hAnsi="Calibri" w:cs="Calibri"/>
                <w:lang w:val="hy-AM"/>
              </w:rPr>
              <w:t> </w:t>
            </w:r>
            <w:r w:rsidR="00DB50A8" w:rsidRPr="00DB50A8">
              <w:rPr>
                <w:rFonts w:ascii="GHEA Grapalat" w:hAnsi="GHEA Grapalat"/>
                <w:lang w:val="hy-AM"/>
              </w:rPr>
              <w:t xml:space="preserve">լրացումներ և փոփոխություններ կատարելու մասին» օրենքների նախագծերի փաթեթը, որում ներառվել է նաև </w:t>
            </w:r>
            <w:r w:rsidR="00DB50A8" w:rsidRPr="00DB50A8">
              <w:rPr>
                <w:rFonts w:ascii="GHEA Grapalat" w:hAnsi="GHEA Grapalat"/>
                <w:lang w:val="hy-AM"/>
              </w:rPr>
              <w:lastRenderedPageBreak/>
              <w:t>ինքնակարգավորվող կազմակերպությունների որոշումների բողոքարկման վերաբերյալ հատուկ վարույթ ներդնելու մասին նախագիծը,</w:t>
            </w:r>
            <w:r w:rsidR="00DB50A8" w:rsidRPr="008E6C48">
              <w:rPr>
                <w:rFonts w:ascii="Calibri" w:hAnsi="Calibri" w:cs="Calibri"/>
                <w:lang w:val="hy-AM"/>
              </w:rPr>
              <w:t> </w:t>
            </w:r>
            <w:r w:rsidR="00DB50A8" w:rsidRPr="00DB50A8">
              <w:rPr>
                <w:rFonts w:ascii="GHEA Grapalat" w:hAnsi="GHEA Grapalat"/>
                <w:lang w:val="hy-AM"/>
              </w:rPr>
              <w:t xml:space="preserve"> </w:t>
            </w:r>
            <w:r w:rsidR="008E6C48">
              <w:rPr>
                <w:rFonts w:ascii="GHEA Grapalat" w:hAnsi="GHEA Grapalat"/>
                <w:lang w:val="hy-AM"/>
              </w:rPr>
              <w:t>26</w:t>
            </w:r>
            <w:r w:rsidR="008E6C48" w:rsidRPr="008E6C48">
              <w:rPr>
                <w:rFonts w:ascii="Cambria Math" w:hAnsi="Cambria Math" w:cs="Cambria Math"/>
                <w:lang w:val="hy-AM"/>
              </w:rPr>
              <w:t>․</w:t>
            </w:r>
            <w:r w:rsidR="008E6C48" w:rsidRPr="008E6C48">
              <w:rPr>
                <w:rFonts w:ascii="GHEA Grapalat" w:hAnsi="GHEA Grapalat"/>
                <w:lang w:val="hy-AM"/>
              </w:rPr>
              <w:t>12</w:t>
            </w:r>
            <w:r w:rsidR="008E6C48" w:rsidRPr="008E6C48">
              <w:rPr>
                <w:rFonts w:ascii="Cambria Math" w:hAnsi="Cambria Math" w:cs="Cambria Math"/>
                <w:lang w:val="hy-AM"/>
              </w:rPr>
              <w:t>․</w:t>
            </w:r>
            <w:r w:rsidR="008E6C48" w:rsidRPr="008E6C48">
              <w:rPr>
                <w:rFonts w:ascii="GHEA Grapalat" w:hAnsi="GHEA Grapalat"/>
                <w:lang w:val="hy-AM"/>
              </w:rPr>
              <w:t>2025թ</w:t>
            </w:r>
            <w:r w:rsidR="008E6C48" w:rsidRPr="008E6C48">
              <w:rPr>
                <w:rFonts w:ascii="Cambria Math" w:hAnsi="Cambria Math" w:cs="Cambria Math"/>
                <w:lang w:val="hy-AM"/>
              </w:rPr>
              <w:t>․</w:t>
            </w:r>
            <w:r w:rsidR="008E6C48" w:rsidRPr="008E6C48">
              <w:rPr>
                <w:rFonts w:ascii="GHEA Grapalat" w:hAnsi="GHEA Grapalat"/>
                <w:lang w:val="hy-AM"/>
              </w:rPr>
              <w:t xml:space="preserve"> թիվ /30,3/60100-2025 գրությամբ </w:t>
            </w:r>
            <w:r w:rsidR="00DB50A8" w:rsidRPr="00DB50A8">
              <w:rPr>
                <w:rFonts w:ascii="GHEA Grapalat" w:hAnsi="GHEA Grapalat"/>
                <w:lang w:val="hy-AM"/>
              </w:rPr>
              <w:t>ներկայացվել է վարչապետի աշխատակազմին և 02</w:t>
            </w:r>
            <w:r w:rsidR="00DB50A8" w:rsidRPr="00DB50A8">
              <w:rPr>
                <w:rFonts w:ascii="Cambria Math" w:hAnsi="Cambria Math" w:cs="Cambria Math"/>
                <w:lang w:val="hy-AM"/>
              </w:rPr>
              <w:t>․</w:t>
            </w:r>
            <w:r w:rsidR="00DB50A8" w:rsidRPr="00DB50A8">
              <w:rPr>
                <w:rFonts w:ascii="GHEA Grapalat" w:hAnsi="GHEA Grapalat"/>
                <w:lang w:val="hy-AM"/>
              </w:rPr>
              <w:t>02</w:t>
            </w:r>
            <w:r w:rsidR="00DB50A8" w:rsidRPr="00DB50A8">
              <w:rPr>
                <w:rFonts w:ascii="Cambria Math" w:hAnsi="Cambria Math" w:cs="Cambria Math"/>
                <w:lang w:val="hy-AM"/>
              </w:rPr>
              <w:t>․</w:t>
            </w:r>
            <w:r w:rsidR="00DB50A8" w:rsidRPr="00DB50A8">
              <w:rPr>
                <w:rFonts w:ascii="GHEA Grapalat" w:hAnsi="GHEA Grapalat"/>
                <w:lang w:val="hy-AM"/>
              </w:rPr>
              <w:t xml:space="preserve">2026 թվականի թիվ 02/10.36/3007-2026 գրությամբ վերադարձվել է՝ վարչապետի աշխատակազմի պետաիրավական, իրավաբանական, սոցիալական հարցերի վարչությունների և միջազգային իրավական հարցերով ներկայացուցչի գրասենյակի եզրակացությունների քննարկման, ինչպես նաև </w:t>
            </w:r>
            <w:r w:rsidR="00DB50A8" w:rsidRPr="00DB50A8">
              <w:rPr>
                <w:rFonts w:ascii="Calibri" w:hAnsi="Calibri" w:cs="Calibri"/>
                <w:lang w:val="hy-AM"/>
              </w:rPr>
              <w:t> </w:t>
            </w:r>
            <w:r w:rsidR="00DB50A8" w:rsidRPr="00DB50A8">
              <w:rPr>
                <w:rFonts w:ascii="GHEA Grapalat" w:hAnsi="GHEA Grapalat"/>
                <w:lang w:val="hy-AM"/>
              </w:rPr>
              <w:t>վարչապետի՝ 31.01.2023թ. թիվ 0211 հանձնարարականի վերջին պարբերության պահանջի կատարման ապահովման համար:</w:t>
            </w:r>
          </w:p>
        </w:tc>
      </w:tr>
      <w:tr w:rsidR="00EC59EB" w:rsidRPr="0074573F" w14:paraId="2FA02DBE" w14:textId="77777777" w:rsidTr="00DD3CE0">
        <w:tc>
          <w:tcPr>
            <w:tcW w:w="720" w:type="dxa"/>
          </w:tcPr>
          <w:p w14:paraId="664CFE49" w14:textId="77777777" w:rsidR="00EC59EB" w:rsidRPr="00FE4A11" w:rsidRDefault="00EC59EB" w:rsidP="006459B1">
            <w:pPr>
              <w:pStyle w:val="ListParagraph"/>
              <w:numPr>
                <w:ilvl w:val="0"/>
                <w:numId w:val="1"/>
              </w:numPr>
              <w:jc w:val="both"/>
              <w:rPr>
                <w:rFonts w:ascii="GHEA Grapalat" w:hAnsi="GHEA Grapalat"/>
                <w:b/>
                <w:lang w:val="hy-AM"/>
              </w:rPr>
            </w:pPr>
          </w:p>
        </w:tc>
        <w:tc>
          <w:tcPr>
            <w:tcW w:w="3585" w:type="dxa"/>
          </w:tcPr>
          <w:p w14:paraId="32C4166E" w14:textId="77777777" w:rsidR="00EC59EB" w:rsidRPr="00FE4A11" w:rsidRDefault="00EC59EB" w:rsidP="005D2D1C">
            <w:pPr>
              <w:jc w:val="center"/>
              <w:rPr>
                <w:rFonts w:ascii="GHEA Grapalat" w:hAnsi="GHEA Grapalat"/>
                <w:b/>
                <w:lang w:val="hy-AM"/>
              </w:rPr>
            </w:pPr>
          </w:p>
        </w:tc>
        <w:tc>
          <w:tcPr>
            <w:tcW w:w="4252" w:type="dxa"/>
          </w:tcPr>
          <w:p w14:paraId="279D409F" w14:textId="77777777" w:rsidR="00EC59EB" w:rsidRPr="00FE4A11" w:rsidRDefault="00F86C9F" w:rsidP="00F86C9F">
            <w:pPr>
              <w:jc w:val="both"/>
              <w:rPr>
                <w:rFonts w:ascii="GHEA Grapalat" w:hAnsi="GHEA Grapalat"/>
                <w:b/>
                <w:lang w:val="hy-AM"/>
              </w:rPr>
            </w:pPr>
            <w:r w:rsidRPr="00FE4A11">
              <w:rPr>
                <w:rFonts w:ascii="GHEA Grapalat" w:hAnsi="GHEA Grapalat"/>
                <w:b/>
                <w:lang w:val="hy-AM"/>
              </w:rPr>
              <w:t>Գործողություն 7</w:t>
            </w:r>
          </w:p>
          <w:p w14:paraId="56C4D240" w14:textId="77777777" w:rsidR="00F86C9F" w:rsidRPr="00FE4A11" w:rsidRDefault="00F86C9F" w:rsidP="00F86C9F">
            <w:pPr>
              <w:jc w:val="both"/>
              <w:rPr>
                <w:rFonts w:ascii="GHEA Grapalat" w:hAnsi="GHEA Grapalat"/>
                <w:lang w:val="hy-AM"/>
              </w:rPr>
            </w:pPr>
            <w:r w:rsidRPr="00FE4A11">
              <w:rPr>
                <w:rFonts w:ascii="GHEA Grapalat" w:hAnsi="GHEA Grapalat"/>
                <w:lang w:val="hy-AM"/>
              </w:rPr>
              <w:t>Նախատեսել pro bono իրավաբանական օգնության տրամադրման կառուցակարգերի խրախուսման նոր միջոցներ և դրանց պատշաճ տրամադրումն ապահովող այլ միջոցներ, ինչպես նաև ստեղծել pro bono էլեկտրոնային հարթակ</w:t>
            </w:r>
          </w:p>
          <w:p w14:paraId="57C2CDD2" w14:textId="77777777" w:rsidR="00F86C9F" w:rsidRPr="00FE4A11" w:rsidRDefault="00F86C9F" w:rsidP="00F86C9F">
            <w:pPr>
              <w:jc w:val="both"/>
              <w:rPr>
                <w:rFonts w:ascii="GHEA Grapalat" w:hAnsi="GHEA Grapalat"/>
                <w:lang w:val="hy-AM"/>
              </w:rPr>
            </w:pPr>
          </w:p>
          <w:p w14:paraId="675ED2B2" w14:textId="77777777" w:rsidR="00F86C9F" w:rsidRPr="00FE4A11" w:rsidRDefault="00F86C9F" w:rsidP="00F86C9F">
            <w:pPr>
              <w:jc w:val="both"/>
              <w:rPr>
                <w:rFonts w:ascii="GHEA Grapalat" w:hAnsi="GHEA Grapalat"/>
                <w:lang w:val="hy-AM"/>
              </w:rPr>
            </w:pPr>
            <w:r w:rsidRPr="00FE4A11">
              <w:rPr>
                <w:rFonts w:ascii="GHEA Grapalat" w:hAnsi="GHEA Grapalat"/>
                <w:lang w:val="hy-AM"/>
              </w:rPr>
              <w:t>(ժամկետ՝ 2025 թվականի 2-րդ կիսամյակ)</w:t>
            </w:r>
          </w:p>
        </w:tc>
        <w:tc>
          <w:tcPr>
            <w:tcW w:w="5483" w:type="dxa"/>
          </w:tcPr>
          <w:p w14:paraId="6B83DC97" w14:textId="29A27449" w:rsidR="00EC59EB" w:rsidRPr="00FE4A11" w:rsidRDefault="00C96BB6" w:rsidP="00D3221F">
            <w:pPr>
              <w:jc w:val="center"/>
              <w:rPr>
                <w:rFonts w:ascii="GHEA Grapalat" w:hAnsi="GHEA Grapalat"/>
                <w:b/>
                <w:lang w:val="hy-AM"/>
              </w:rPr>
            </w:pPr>
            <w:r w:rsidRPr="00FE4A11">
              <w:rPr>
                <w:rFonts w:ascii="GHEA Grapalat" w:hAnsi="GHEA Grapalat"/>
                <w:b/>
                <w:lang w:val="hy-AM"/>
              </w:rPr>
              <w:t>Կատարված չէ</w:t>
            </w:r>
          </w:p>
          <w:p w14:paraId="27B7F756" w14:textId="77777777" w:rsidR="00D3221F" w:rsidRPr="00FE4A11" w:rsidRDefault="00D3221F" w:rsidP="00D3221F">
            <w:pPr>
              <w:jc w:val="center"/>
              <w:rPr>
                <w:rFonts w:ascii="GHEA Grapalat" w:hAnsi="GHEA Grapalat"/>
                <w:b/>
                <w:lang w:val="hy-AM"/>
              </w:rPr>
            </w:pPr>
          </w:p>
          <w:p w14:paraId="2B940AF3" w14:textId="77777777" w:rsidR="006F1944" w:rsidRPr="00FE4A11" w:rsidRDefault="00D3221F" w:rsidP="006F1944">
            <w:pPr>
              <w:pStyle w:val="ql-align-justify"/>
              <w:spacing w:before="0" w:beforeAutospacing="0" w:after="0" w:afterAutospacing="0"/>
              <w:ind w:firstLine="455"/>
              <w:jc w:val="both"/>
              <w:rPr>
                <w:rFonts w:ascii="GHEA Grapalat" w:hAnsi="GHEA Grapalat" w:cs="Arial"/>
                <w:sz w:val="22"/>
                <w:szCs w:val="22"/>
                <w:lang w:val="hy-AM"/>
              </w:rPr>
            </w:pPr>
            <w:r w:rsidRPr="00FE4A11">
              <w:rPr>
                <w:rFonts w:ascii="GHEA Grapalat" w:hAnsi="GHEA Grapalat" w:cs="Arial"/>
                <w:sz w:val="22"/>
                <w:szCs w:val="22"/>
                <w:lang w:val="hy-AM"/>
              </w:rPr>
              <w:t>2024 թվականի հունիսի 12-ին Ազգային ժողովի կողմից ընդունված «Հայաստանի Հանրապետության Հարկային օրենսգրքում փոփոխություններ</w:t>
            </w:r>
            <w:r w:rsidRPr="00FE4A11">
              <w:rPr>
                <w:rFonts w:ascii="Calibri" w:hAnsi="Calibri" w:cs="Calibri"/>
                <w:sz w:val="22"/>
                <w:szCs w:val="22"/>
                <w:lang w:val="hy-AM"/>
              </w:rPr>
              <w:t> </w:t>
            </w:r>
            <w:r w:rsidRPr="00FE4A11">
              <w:rPr>
                <w:rFonts w:ascii="GHEA Grapalat" w:hAnsi="GHEA Grapalat" w:cs="GHEA Grapalat"/>
                <w:sz w:val="22"/>
                <w:szCs w:val="22"/>
                <w:lang w:val="hy-AM"/>
              </w:rPr>
              <w:t>կատարելու</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մասին»</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ՀՕ</w:t>
            </w:r>
            <w:r w:rsidRPr="00FE4A11">
              <w:rPr>
                <w:rFonts w:ascii="GHEA Grapalat" w:hAnsi="GHEA Grapalat" w:cs="Arial"/>
                <w:sz w:val="22"/>
                <w:szCs w:val="22"/>
                <w:lang w:val="hy-AM"/>
              </w:rPr>
              <w:t>-285-</w:t>
            </w:r>
            <w:r w:rsidRPr="00FE4A11">
              <w:rPr>
                <w:rFonts w:ascii="GHEA Grapalat" w:hAnsi="GHEA Grapalat" w:cs="GHEA Grapalat"/>
                <w:sz w:val="22"/>
                <w:szCs w:val="22"/>
                <w:lang w:val="hy-AM"/>
              </w:rPr>
              <w:t>Ն</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օրենքը</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որը</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ուժի</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մեջ</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է</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մտել</w:t>
            </w:r>
            <w:r w:rsidRPr="00FE4A11">
              <w:rPr>
                <w:rFonts w:ascii="GHEA Grapalat" w:hAnsi="GHEA Grapalat" w:cs="Arial"/>
                <w:sz w:val="22"/>
                <w:szCs w:val="22"/>
                <w:lang w:val="hy-AM"/>
              </w:rPr>
              <w:t xml:space="preserve"> 2025 </w:t>
            </w:r>
            <w:r w:rsidRPr="00FE4A11">
              <w:rPr>
                <w:rFonts w:ascii="GHEA Grapalat" w:hAnsi="GHEA Grapalat" w:cs="GHEA Grapalat"/>
                <w:sz w:val="22"/>
                <w:szCs w:val="22"/>
                <w:lang w:val="hy-AM"/>
              </w:rPr>
              <w:t>թվականի</w:t>
            </w:r>
            <w:r w:rsidRPr="00FE4A11">
              <w:rPr>
                <w:rFonts w:ascii="GHEA Grapalat" w:hAnsi="GHEA Grapalat" w:cs="Arial"/>
                <w:sz w:val="22"/>
                <w:szCs w:val="22"/>
                <w:lang w:val="hy-AM"/>
              </w:rPr>
              <w:t xml:space="preserve"> </w:t>
            </w:r>
            <w:r w:rsidRPr="00FE4A11">
              <w:rPr>
                <w:rFonts w:ascii="GHEA Grapalat" w:hAnsi="GHEA Grapalat" w:cs="GHEA Grapalat"/>
                <w:sz w:val="22"/>
                <w:szCs w:val="22"/>
                <w:lang w:val="hy-AM"/>
              </w:rPr>
              <w:t>հունվարի</w:t>
            </w:r>
            <w:r w:rsidRPr="00FE4A11">
              <w:rPr>
                <w:rFonts w:ascii="GHEA Grapalat" w:hAnsi="GHEA Grapalat" w:cs="Arial"/>
                <w:sz w:val="22"/>
                <w:szCs w:val="22"/>
                <w:lang w:val="hy-AM"/>
              </w:rPr>
              <w:t xml:space="preserve"> 1-ից:</w:t>
            </w:r>
          </w:p>
          <w:p w14:paraId="2DAC0718" w14:textId="75BE962C" w:rsidR="00D3221F" w:rsidRPr="00FE4A11" w:rsidRDefault="00D3221F" w:rsidP="006F1944">
            <w:pPr>
              <w:pStyle w:val="ql-align-justify"/>
              <w:spacing w:before="0" w:beforeAutospacing="0" w:after="0" w:afterAutospacing="0"/>
              <w:ind w:firstLine="455"/>
              <w:jc w:val="both"/>
              <w:rPr>
                <w:rFonts w:ascii="GHEA Grapalat" w:hAnsi="GHEA Grapalat" w:cs="Arial"/>
                <w:sz w:val="22"/>
                <w:szCs w:val="22"/>
                <w:lang w:val="hy-AM"/>
              </w:rPr>
            </w:pPr>
            <w:r w:rsidRPr="00FE4A11">
              <w:rPr>
                <w:rFonts w:ascii="GHEA Grapalat" w:hAnsi="GHEA Grapalat" w:cs="Arial"/>
                <w:sz w:val="22"/>
                <w:szCs w:val="22"/>
                <w:lang w:val="hy-AM"/>
              </w:rPr>
              <w:t>Այս օրենքով, ի թիվս այլնի սահմանվել է, որ 2025 թվականի հունվարի 1-ից փաստաբանական ծառայություններ մատուցողները այլևս չեն համարվել շրջանառության հարկ վճարողներ: Նշվածից բխում է, որ 2025 թվականի հունվարի 1-ից փաստաբանական ծառայություններ մատուցողները հարկվել են հարկման ընդհանուր համակարգով և վճարել են ԱԱՀ և շահութահարկ:</w:t>
            </w:r>
          </w:p>
          <w:p w14:paraId="3B98EF8C" w14:textId="77777777" w:rsidR="00D3221F" w:rsidRPr="00FE4A11" w:rsidRDefault="00D3221F" w:rsidP="00085180">
            <w:pPr>
              <w:pStyle w:val="ql-align-justify"/>
              <w:spacing w:before="0" w:beforeAutospacing="0" w:after="0" w:afterAutospacing="0"/>
              <w:ind w:firstLine="455"/>
              <w:jc w:val="both"/>
              <w:rPr>
                <w:rFonts w:ascii="GHEA Grapalat" w:hAnsi="GHEA Grapalat" w:cs="Arial"/>
                <w:sz w:val="22"/>
                <w:szCs w:val="22"/>
                <w:lang w:val="hy-AM"/>
              </w:rPr>
            </w:pPr>
            <w:r w:rsidRPr="00FE4A11">
              <w:rPr>
                <w:rFonts w:ascii="GHEA Grapalat" w:hAnsi="GHEA Grapalat" w:cs="Arial"/>
                <w:sz w:val="22"/>
                <w:szCs w:val="22"/>
                <w:lang w:val="hy-AM"/>
              </w:rPr>
              <w:lastRenderedPageBreak/>
              <w:t>Նշվածին զուգահեռ, Հարկային օրենսգրքի 62-րդ հոդվածի 6-րդ մասի համաձայն՝ «Ապրանքի մատակարարման, աշխատանքի կատարման կամ ծառայության մատուցման անհատույց կամ իրական արժեքից էականորեն ցածր արժեքով հատուցմամբ գործարքների դեպքում ԱԱՀ-ով հարկման բազա է համարվում այդ գործարքների իրական արժեքի 80 տոկոսը, բացառությամբ սույն հոդվածի 7-րդ մասով սահմանված դեպքերի (…)»:</w:t>
            </w:r>
          </w:p>
          <w:p w14:paraId="752AA0CD" w14:textId="77777777" w:rsidR="00D3221F" w:rsidRPr="00FE4A11" w:rsidRDefault="00D3221F" w:rsidP="00085180">
            <w:pPr>
              <w:pStyle w:val="ql-align-justify"/>
              <w:spacing w:before="0" w:beforeAutospacing="0" w:after="0" w:afterAutospacing="0"/>
              <w:ind w:firstLine="455"/>
              <w:jc w:val="both"/>
              <w:rPr>
                <w:rFonts w:ascii="GHEA Grapalat" w:hAnsi="GHEA Grapalat" w:cs="Arial"/>
                <w:sz w:val="22"/>
                <w:szCs w:val="22"/>
                <w:lang w:val="hy-AM"/>
              </w:rPr>
            </w:pPr>
            <w:r w:rsidRPr="00FE4A11">
              <w:rPr>
                <w:rFonts w:ascii="GHEA Grapalat" w:hAnsi="GHEA Grapalat" w:cs="Arial"/>
                <w:sz w:val="22"/>
                <w:szCs w:val="22"/>
                <w:lang w:val="hy-AM"/>
              </w:rPr>
              <w:t>Թվարկված կարգավորումների ընդհանուր մեկնաբանությունից պարզ է դառնում, որ 2025 թվականի հունվարի 1-ից փաստաբանները անհատույց փաստաբանական ծառայություն մատուցելու դեպքում վճարել են ավելացված արժեքի հարկ:</w:t>
            </w:r>
          </w:p>
          <w:p w14:paraId="7F67DB98" w14:textId="77777777" w:rsidR="00D3221F" w:rsidRPr="00FE4A11" w:rsidRDefault="00D3221F" w:rsidP="006F1944">
            <w:pPr>
              <w:pStyle w:val="ql-align-justify"/>
              <w:spacing w:before="0" w:beforeAutospacing="0"/>
              <w:ind w:firstLine="455"/>
              <w:jc w:val="both"/>
              <w:rPr>
                <w:rFonts w:ascii="GHEA Grapalat" w:hAnsi="GHEA Grapalat" w:cs="Arial"/>
                <w:sz w:val="22"/>
                <w:szCs w:val="22"/>
                <w:lang w:val="hy-AM"/>
              </w:rPr>
            </w:pPr>
            <w:r w:rsidRPr="00FE4A11">
              <w:rPr>
                <w:rFonts w:ascii="GHEA Grapalat" w:hAnsi="GHEA Grapalat" w:cs="Arial"/>
                <w:sz w:val="22"/>
                <w:szCs w:val="22"/>
                <w:lang w:val="hy-AM"/>
              </w:rPr>
              <w:t>Նշվածով պայմանավորված փաստաբանական համայնքը՝ ի դեմս Փաստաբանների պալատի, հայտնել է այն դիրքորոշումը, որ նման հարկային քաղաքականության դեպքում նպատակահարմար չէ pro bono էլեկտրոնային հարթակի ստեղծումը:</w:t>
            </w:r>
            <w:r w:rsidRPr="00FE4A11">
              <w:rPr>
                <w:rFonts w:ascii="Calibri" w:hAnsi="Calibri" w:cs="Calibri"/>
                <w:sz w:val="22"/>
                <w:szCs w:val="22"/>
                <w:lang w:val="hy-AM"/>
              </w:rPr>
              <w:t> </w:t>
            </w:r>
          </w:p>
          <w:p w14:paraId="3BC5D599" w14:textId="3CB2857E" w:rsidR="00D3221F" w:rsidRPr="00FE4A11" w:rsidRDefault="00D3221F" w:rsidP="00D3221F">
            <w:pPr>
              <w:jc w:val="center"/>
              <w:rPr>
                <w:rFonts w:ascii="GHEA Grapalat" w:hAnsi="GHEA Grapalat"/>
                <w:lang w:val="hy-AM"/>
              </w:rPr>
            </w:pPr>
          </w:p>
        </w:tc>
      </w:tr>
    </w:tbl>
    <w:p w14:paraId="2F079FBA" w14:textId="77777777" w:rsidR="005D2D1C" w:rsidRPr="009354D8" w:rsidRDefault="005D2D1C" w:rsidP="00731F8E">
      <w:pPr>
        <w:rPr>
          <w:rFonts w:ascii="GHEA Grapalat" w:hAnsi="GHEA Grapalat"/>
          <w:b/>
          <w:lang w:val="hy-AM"/>
        </w:rPr>
      </w:pPr>
    </w:p>
    <w:sectPr w:rsidR="005D2D1C" w:rsidRPr="009354D8" w:rsidSect="00CF1D8C">
      <w:pgSz w:w="15840" w:h="12240" w:orient="landscape"/>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8B570" w14:textId="77777777" w:rsidR="00E71CF5" w:rsidRDefault="00E71CF5" w:rsidP="00EB1DC8">
      <w:pPr>
        <w:spacing w:after="0" w:line="240" w:lineRule="auto"/>
      </w:pPr>
      <w:r>
        <w:separator/>
      </w:r>
    </w:p>
  </w:endnote>
  <w:endnote w:type="continuationSeparator" w:id="0">
    <w:p w14:paraId="196403D5" w14:textId="77777777" w:rsidR="00E71CF5" w:rsidRDefault="00E71CF5" w:rsidP="00EB1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GHEA Mariam">
    <w:altName w:val="Sylfaen"/>
    <w:panose1 w:val="0200050308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85D5A" w14:textId="77777777" w:rsidR="00E71CF5" w:rsidRDefault="00E71CF5" w:rsidP="00EB1DC8">
      <w:pPr>
        <w:spacing w:after="0" w:line="240" w:lineRule="auto"/>
      </w:pPr>
      <w:r>
        <w:separator/>
      </w:r>
    </w:p>
  </w:footnote>
  <w:footnote w:type="continuationSeparator" w:id="0">
    <w:p w14:paraId="597D8CCF" w14:textId="77777777" w:rsidR="00E71CF5" w:rsidRDefault="00E71CF5" w:rsidP="00EB1D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18F0"/>
    <w:multiLevelType w:val="hybridMultilevel"/>
    <w:tmpl w:val="991C4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973D21"/>
    <w:multiLevelType w:val="hybridMultilevel"/>
    <w:tmpl w:val="991C4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A0"/>
    <w:rsid w:val="00032CC7"/>
    <w:rsid w:val="00047559"/>
    <w:rsid w:val="00070906"/>
    <w:rsid w:val="00084287"/>
    <w:rsid w:val="00085180"/>
    <w:rsid w:val="0008642C"/>
    <w:rsid w:val="000A0B8D"/>
    <w:rsid w:val="000B2E80"/>
    <w:rsid w:val="000C596D"/>
    <w:rsid w:val="000C6DE8"/>
    <w:rsid w:val="000E18AC"/>
    <w:rsid w:val="001400BC"/>
    <w:rsid w:val="001B59E3"/>
    <w:rsid w:val="001E4881"/>
    <w:rsid w:val="001E633A"/>
    <w:rsid w:val="001F3286"/>
    <w:rsid w:val="00234D7F"/>
    <w:rsid w:val="00245EC7"/>
    <w:rsid w:val="002523CE"/>
    <w:rsid w:val="00256154"/>
    <w:rsid w:val="00283466"/>
    <w:rsid w:val="002C1587"/>
    <w:rsid w:val="002C4A83"/>
    <w:rsid w:val="002D197B"/>
    <w:rsid w:val="003267DA"/>
    <w:rsid w:val="00355604"/>
    <w:rsid w:val="0036214C"/>
    <w:rsid w:val="003661B4"/>
    <w:rsid w:val="00386FD6"/>
    <w:rsid w:val="003B4283"/>
    <w:rsid w:val="003C6213"/>
    <w:rsid w:val="00406EC7"/>
    <w:rsid w:val="004740FD"/>
    <w:rsid w:val="004928AF"/>
    <w:rsid w:val="004B3EF5"/>
    <w:rsid w:val="004B5996"/>
    <w:rsid w:val="004F3345"/>
    <w:rsid w:val="00502B0B"/>
    <w:rsid w:val="005363D5"/>
    <w:rsid w:val="0057741B"/>
    <w:rsid w:val="00584A13"/>
    <w:rsid w:val="005B06EC"/>
    <w:rsid w:val="005B0D8B"/>
    <w:rsid w:val="005C000B"/>
    <w:rsid w:val="005C27D5"/>
    <w:rsid w:val="005D2D1C"/>
    <w:rsid w:val="00620545"/>
    <w:rsid w:val="006459B1"/>
    <w:rsid w:val="006F1944"/>
    <w:rsid w:val="007133FF"/>
    <w:rsid w:val="00731F8E"/>
    <w:rsid w:val="00743DAA"/>
    <w:rsid w:val="0074573F"/>
    <w:rsid w:val="007B65B2"/>
    <w:rsid w:val="007C2B7B"/>
    <w:rsid w:val="007C761A"/>
    <w:rsid w:val="00807E67"/>
    <w:rsid w:val="00817744"/>
    <w:rsid w:val="0084651B"/>
    <w:rsid w:val="00856DEB"/>
    <w:rsid w:val="008736F0"/>
    <w:rsid w:val="00877354"/>
    <w:rsid w:val="00877CD0"/>
    <w:rsid w:val="008929A5"/>
    <w:rsid w:val="008A3A4B"/>
    <w:rsid w:val="008B5615"/>
    <w:rsid w:val="008D3BD4"/>
    <w:rsid w:val="008E3294"/>
    <w:rsid w:val="008E6C48"/>
    <w:rsid w:val="008F6B84"/>
    <w:rsid w:val="008F719A"/>
    <w:rsid w:val="00927473"/>
    <w:rsid w:val="00933578"/>
    <w:rsid w:val="009354D8"/>
    <w:rsid w:val="00953198"/>
    <w:rsid w:val="00963EAF"/>
    <w:rsid w:val="00971AEC"/>
    <w:rsid w:val="00986DFD"/>
    <w:rsid w:val="009E1091"/>
    <w:rsid w:val="009E3560"/>
    <w:rsid w:val="00A05662"/>
    <w:rsid w:val="00A06B05"/>
    <w:rsid w:val="00A21307"/>
    <w:rsid w:val="00A265DA"/>
    <w:rsid w:val="00A275F1"/>
    <w:rsid w:val="00A536C1"/>
    <w:rsid w:val="00A6698E"/>
    <w:rsid w:val="00A70F73"/>
    <w:rsid w:val="00AE7087"/>
    <w:rsid w:val="00B125AF"/>
    <w:rsid w:val="00B2577C"/>
    <w:rsid w:val="00B4063C"/>
    <w:rsid w:val="00B4420B"/>
    <w:rsid w:val="00B514E2"/>
    <w:rsid w:val="00B522DA"/>
    <w:rsid w:val="00BB3975"/>
    <w:rsid w:val="00C8359C"/>
    <w:rsid w:val="00C86C2F"/>
    <w:rsid w:val="00C96BB6"/>
    <w:rsid w:val="00CF1D8C"/>
    <w:rsid w:val="00D06A3D"/>
    <w:rsid w:val="00D20F51"/>
    <w:rsid w:val="00D3221F"/>
    <w:rsid w:val="00D75BEA"/>
    <w:rsid w:val="00DB3E08"/>
    <w:rsid w:val="00DB50A8"/>
    <w:rsid w:val="00DD3CE0"/>
    <w:rsid w:val="00DD3D4E"/>
    <w:rsid w:val="00DE1EB5"/>
    <w:rsid w:val="00E01548"/>
    <w:rsid w:val="00E03D5C"/>
    <w:rsid w:val="00E07177"/>
    <w:rsid w:val="00E1057D"/>
    <w:rsid w:val="00E269F1"/>
    <w:rsid w:val="00E328E5"/>
    <w:rsid w:val="00E347A0"/>
    <w:rsid w:val="00E43750"/>
    <w:rsid w:val="00E71CF5"/>
    <w:rsid w:val="00E84E7F"/>
    <w:rsid w:val="00E87061"/>
    <w:rsid w:val="00E9000B"/>
    <w:rsid w:val="00E93570"/>
    <w:rsid w:val="00EB1DC8"/>
    <w:rsid w:val="00EC1825"/>
    <w:rsid w:val="00EC3ED0"/>
    <w:rsid w:val="00EC59EB"/>
    <w:rsid w:val="00F162AD"/>
    <w:rsid w:val="00F215F2"/>
    <w:rsid w:val="00F21671"/>
    <w:rsid w:val="00F27502"/>
    <w:rsid w:val="00F55918"/>
    <w:rsid w:val="00F57143"/>
    <w:rsid w:val="00F76B7E"/>
    <w:rsid w:val="00F76F4C"/>
    <w:rsid w:val="00F86C9F"/>
    <w:rsid w:val="00F87E7B"/>
    <w:rsid w:val="00F93E09"/>
    <w:rsid w:val="00FC33F9"/>
    <w:rsid w:val="00FC3813"/>
    <w:rsid w:val="00FC7331"/>
    <w:rsid w:val="00FD457C"/>
    <w:rsid w:val="00FD47CF"/>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9ADC8"/>
  <w15:chartTrackingRefBased/>
  <w15:docId w15:val="{16B9F080-1266-4AAC-AA18-E7324479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1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2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D1C"/>
    <w:rPr>
      <w:rFonts w:ascii="Segoe UI" w:hAnsi="Segoe UI" w:cs="Segoe UI"/>
      <w:sz w:val="18"/>
      <w:szCs w:val="18"/>
    </w:rPr>
  </w:style>
  <w:style w:type="paragraph" w:styleId="FootnoteText">
    <w:name w:val="footnote text"/>
    <w:basedOn w:val="Normal"/>
    <w:link w:val="FootnoteTextChar"/>
    <w:uiPriority w:val="99"/>
    <w:semiHidden/>
    <w:unhideWhenUsed/>
    <w:rsid w:val="00EB1D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1DC8"/>
    <w:rPr>
      <w:sz w:val="20"/>
      <w:szCs w:val="20"/>
    </w:rPr>
  </w:style>
  <w:style w:type="character" w:styleId="FootnoteReference">
    <w:name w:val="footnote reference"/>
    <w:basedOn w:val="DefaultParagraphFont"/>
    <w:uiPriority w:val="99"/>
    <w:semiHidden/>
    <w:unhideWhenUsed/>
    <w:rsid w:val="00EB1DC8"/>
    <w:rPr>
      <w:vertAlign w:val="superscript"/>
    </w:rPr>
  </w:style>
  <w:style w:type="paragraph" w:styleId="EndnoteText">
    <w:name w:val="endnote text"/>
    <w:basedOn w:val="Normal"/>
    <w:link w:val="EndnoteTextChar"/>
    <w:uiPriority w:val="99"/>
    <w:semiHidden/>
    <w:unhideWhenUsed/>
    <w:rsid w:val="00EB1D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1DC8"/>
    <w:rPr>
      <w:sz w:val="20"/>
      <w:szCs w:val="20"/>
    </w:rPr>
  </w:style>
  <w:style w:type="character" w:styleId="EndnoteReference">
    <w:name w:val="endnote reference"/>
    <w:basedOn w:val="DefaultParagraphFont"/>
    <w:uiPriority w:val="99"/>
    <w:semiHidden/>
    <w:unhideWhenUsed/>
    <w:rsid w:val="00EB1DC8"/>
    <w:rPr>
      <w:vertAlign w:val="superscript"/>
    </w:rPr>
  </w:style>
  <w:style w:type="paragraph" w:styleId="ListParagraph">
    <w:name w:val="List Paragraph"/>
    <w:basedOn w:val="Normal"/>
    <w:uiPriority w:val="34"/>
    <w:qFormat/>
    <w:rsid w:val="006459B1"/>
    <w:pPr>
      <w:ind w:left="720"/>
      <w:contextualSpacing/>
    </w:pPr>
  </w:style>
  <w:style w:type="character" w:styleId="CommentReference">
    <w:name w:val="annotation reference"/>
    <w:basedOn w:val="DefaultParagraphFont"/>
    <w:uiPriority w:val="99"/>
    <w:semiHidden/>
    <w:unhideWhenUsed/>
    <w:rsid w:val="00E43750"/>
    <w:rPr>
      <w:sz w:val="16"/>
      <w:szCs w:val="16"/>
    </w:rPr>
  </w:style>
  <w:style w:type="paragraph" w:styleId="CommentText">
    <w:name w:val="annotation text"/>
    <w:basedOn w:val="Normal"/>
    <w:link w:val="CommentTextChar"/>
    <w:uiPriority w:val="99"/>
    <w:semiHidden/>
    <w:unhideWhenUsed/>
    <w:rsid w:val="00E43750"/>
    <w:pPr>
      <w:spacing w:line="240" w:lineRule="auto"/>
    </w:pPr>
    <w:rPr>
      <w:sz w:val="20"/>
      <w:szCs w:val="20"/>
    </w:rPr>
  </w:style>
  <w:style w:type="character" w:customStyle="1" w:styleId="CommentTextChar">
    <w:name w:val="Comment Text Char"/>
    <w:basedOn w:val="DefaultParagraphFont"/>
    <w:link w:val="CommentText"/>
    <w:uiPriority w:val="99"/>
    <w:semiHidden/>
    <w:rsid w:val="00E43750"/>
    <w:rPr>
      <w:sz w:val="20"/>
      <w:szCs w:val="20"/>
    </w:rPr>
  </w:style>
  <w:style w:type="paragraph" w:styleId="CommentSubject">
    <w:name w:val="annotation subject"/>
    <w:basedOn w:val="CommentText"/>
    <w:next w:val="CommentText"/>
    <w:link w:val="CommentSubjectChar"/>
    <w:uiPriority w:val="99"/>
    <w:semiHidden/>
    <w:unhideWhenUsed/>
    <w:rsid w:val="00E43750"/>
    <w:rPr>
      <w:b/>
      <w:bCs/>
    </w:rPr>
  </w:style>
  <w:style w:type="character" w:customStyle="1" w:styleId="CommentSubjectChar">
    <w:name w:val="Comment Subject Char"/>
    <w:basedOn w:val="CommentTextChar"/>
    <w:link w:val="CommentSubject"/>
    <w:uiPriority w:val="99"/>
    <w:semiHidden/>
    <w:rsid w:val="00E43750"/>
    <w:rPr>
      <w:b/>
      <w:bCs/>
      <w:sz w:val="20"/>
      <w:szCs w:val="20"/>
    </w:rPr>
  </w:style>
  <w:style w:type="paragraph" w:customStyle="1" w:styleId="muitypography-root">
    <w:name w:val="muitypography-root"/>
    <w:basedOn w:val="Normal"/>
    <w:rsid w:val="00D20F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E1EB5"/>
    <w:rPr>
      <w:b/>
      <w:bCs/>
    </w:rPr>
  </w:style>
  <w:style w:type="paragraph" w:customStyle="1" w:styleId="ql-align-justify">
    <w:name w:val="ql-align-justify"/>
    <w:basedOn w:val="Normal"/>
    <w:rsid w:val="00D322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8967">
      <w:bodyDiv w:val="1"/>
      <w:marLeft w:val="0"/>
      <w:marRight w:val="0"/>
      <w:marTop w:val="0"/>
      <w:marBottom w:val="0"/>
      <w:divBdr>
        <w:top w:val="none" w:sz="0" w:space="0" w:color="auto"/>
        <w:left w:val="none" w:sz="0" w:space="0" w:color="auto"/>
        <w:bottom w:val="none" w:sz="0" w:space="0" w:color="auto"/>
        <w:right w:val="none" w:sz="0" w:space="0" w:color="auto"/>
      </w:divBdr>
    </w:div>
    <w:div w:id="123164648">
      <w:bodyDiv w:val="1"/>
      <w:marLeft w:val="0"/>
      <w:marRight w:val="0"/>
      <w:marTop w:val="0"/>
      <w:marBottom w:val="0"/>
      <w:divBdr>
        <w:top w:val="none" w:sz="0" w:space="0" w:color="auto"/>
        <w:left w:val="none" w:sz="0" w:space="0" w:color="auto"/>
        <w:bottom w:val="none" w:sz="0" w:space="0" w:color="auto"/>
        <w:right w:val="none" w:sz="0" w:space="0" w:color="auto"/>
      </w:divBdr>
    </w:div>
    <w:div w:id="161701382">
      <w:bodyDiv w:val="1"/>
      <w:marLeft w:val="0"/>
      <w:marRight w:val="0"/>
      <w:marTop w:val="0"/>
      <w:marBottom w:val="0"/>
      <w:divBdr>
        <w:top w:val="none" w:sz="0" w:space="0" w:color="auto"/>
        <w:left w:val="none" w:sz="0" w:space="0" w:color="auto"/>
        <w:bottom w:val="none" w:sz="0" w:space="0" w:color="auto"/>
        <w:right w:val="none" w:sz="0" w:space="0" w:color="auto"/>
      </w:divBdr>
    </w:div>
    <w:div w:id="443227719">
      <w:bodyDiv w:val="1"/>
      <w:marLeft w:val="0"/>
      <w:marRight w:val="0"/>
      <w:marTop w:val="0"/>
      <w:marBottom w:val="0"/>
      <w:divBdr>
        <w:top w:val="none" w:sz="0" w:space="0" w:color="auto"/>
        <w:left w:val="none" w:sz="0" w:space="0" w:color="auto"/>
        <w:bottom w:val="none" w:sz="0" w:space="0" w:color="auto"/>
        <w:right w:val="none" w:sz="0" w:space="0" w:color="auto"/>
      </w:divBdr>
    </w:div>
    <w:div w:id="452552158">
      <w:bodyDiv w:val="1"/>
      <w:marLeft w:val="0"/>
      <w:marRight w:val="0"/>
      <w:marTop w:val="0"/>
      <w:marBottom w:val="0"/>
      <w:divBdr>
        <w:top w:val="none" w:sz="0" w:space="0" w:color="auto"/>
        <w:left w:val="none" w:sz="0" w:space="0" w:color="auto"/>
        <w:bottom w:val="none" w:sz="0" w:space="0" w:color="auto"/>
        <w:right w:val="none" w:sz="0" w:space="0" w:color="auto"/>
      </w:divBdr>
    </w:div>
    <w:div w:id="584219292">
      <w:bodyDiv w:val="1"/>
      <w:marLeft w:val="0"/>
      <w:marRight w:val="0"/>
      <w:marTop w:val="0"/>
      <w:marBottom w:val="0"/>
      <w:divBdr>
        <w:top w:val="none" w:sz="0" w:space="0" w:color="auto"/>
        <w:left w:val="none" w:sz="0" w:space="0" w:color="auto"/>
        <w:bottom w:val="none" w:sz="0" w:space="0" w:color="auto"/>
        <w:right w:val="none" w:sz="0" w:space="0" w:color="auto"/>
      </w:divBdr>
    </w:div>
    <w:div w:id="610816157">
      <w:bodyDiv w:val="1"/>
      <w:marLeft w:val="0"/>
      <w:marRight w:val="0"/>
      <w:marTop w:val="0"/>
      <w:marBottom w:val="0"/>
      <w:divBdr>
        <w:top w:val="none" w:sz="0" w:space="0" w:color="auto"/>
        <w:left w:val="none" w:sz="0" w:space="0" w:color="auto"/>
        <w:bottom w:val="none" w:sz="0" w:space="0" w:color="auto"/>
        <w:right w:val="none" w:sz="0" w:space="0" w:color="auto"/>
      </w:divBdr>
    </w:div>
    <w:div w:id="783616100">
      <w:bodyDiv w:val="1"/>
      <w:marLeft w:val="0"/>
      <w:marRight w:val="0"/>
      <w:marTop w:val="0"/>
      <w:marBottom w:val="0"/>
      <w:divBdr>
        <w:top w:val="none" w:sz="0" w:space="0" w:color="auto"/>
        <w:left w:val="none" w:sz="0" w:space="0" w:color="auto"/>
        <w:bottom w:val="none" w:sz="0" w:space="0" w:color="auto"/>
        <w:right w:val="none" w:sz="0" w:space="0" w:color="auto"/>
      </w:divBdr>
    </w:div>
    <w:div w:id="885994624">
      <w:bodyDiv w:val="1"/>
      <w:marLeft w:val="0"/>
      <w:marRight w:val="0"/>
      <w:marTop w:val="0"/>
      <w:marBottom w:val="0"/>
      <w:divBdr>
        <w:top w:val="none" w:sz="0" w:space="0" w:color="auto"/>
        <w:left w:val="none" w:sz="0" w:space="0" w:color="auto"/>
        <w:bottom w:val="none" w:sz="0" w:space="0" w:color="auto"/>
        <w:right w:val="none" w:sz="0" w:space="0" w:color="auto"/>
      </w:divBdr>
    </w:div>
    <w:div w:id="894858069">
      <w:bodyDiv w:val="1"/>
      <w:marLeft w:val="0"/>
      <w:marRight w:val="0"/>
      <w:marTop w:val="0"/>
      <w:marBottom w:val="0"/>
      <w:divBdr>
        <w:top w:val="none" w:sz="0" w:space="0" w:color="auto"/>
        <w:left w:val="none" w:sz="0" w:space="0" w:color="auto"/>
        <w:bottom w:val="none" w:sz="0" w:space="0" w:color="auto"/>
        <w:right w:val="none" w:sz="0" w:space="0" w:color="auto"/>
      </w:divBdr>
    </w:div>
    <w:div w:id="1291087652">
      <w:bodyDiv w:val="1"/>
      <w:marLeft w:val="0"/>
      <w:marRight w:val="0"/>
      <w:marTop w:val="0"/>
      <w:marBottom w:val="0"/>
      <w:divBdr>
        <w:top w:val="none" w:sz="0" w:space="0" w:color="auto"/>
        <w:left w:val="none" w:sz="0" w:space="0" w:color="auto"/>
        <w:bottom w:val="none" w:sz="0" w:space="0" w:color="auto"/>
        <w:right w:val="none" w:sz="0" w:space="0" w:color="auto"/>
      </w:divBdr>
    </w:div>
    <w:div w:id="1995451345">
      <w:bodyDiv w:val="1"/>
      <w:marLeft w:val="0"/>
      <w:marRight w:val="0"/>
      <w:marTop w:val="0"/>
      <w:marBottom w:val="0"/>
      <w:divBdr>
        <w:top w:val="none" w:sz="0" w:space="0" w:color="auto"/>
        <w:left w:val="none" w:sz="0" w:space="0" w:color="auto"/>
        <w:bottom w:val="none" w:sz="0" w:space="0" w:color="auto"/>
        <w:right w:val="none" w:sz="0" w:space="0" w:color="auto"/>
      </w:divBdr>
    </w:div>
    <w:div w:id="2093965960">
      <w:bodyDiv w:val="1"/>
      <w:marLeft w:val="0"/>
      <w:marRight w:val="0"/>
      <w:marTop w:val="0"/>
      <w:marBottom w:val="0"/>
      <w:divBdr>
        <w:top w:val="none" w:sz="0" w:space="0" w:color="auto"/>
        <w:left w:val="none" w:sz="0" w:space="0" w:color="auto"/>
        <w:bottom w:val="none" w:sz="0" w:space="0" w:color="auto"/>
        <w:right w:val="none" w:sz="0" w:space="0" w:color="auto"/>
      </w:divBdr>
    </w:div>
    <w:div w:id="2093970914">
      <w:bodyDiv w:val="1"/>
      <w:marLeft w:val="0"/>
      <w:marRight w:val="0"/>
      <w:marTop w:val="0"/>
      <w:marBottom w:val="0"/>
      <w:divBdr>
        <w:top w:val="none" w:sz="0" w:space="0" w:color="auto"/>
        <w:left w:val="none" w:sz="0" w:space="0" w:color="auto"/>
        <w:bottom w:val="none" w:sz="0" w:space="0" w:color="auto"/>
        <w:right w:val="none" w:sz="0" w:space="0" w:color="auto"/>
      </w:divBdr>
    </w:div>
    <w:div w:id="213682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3A1E0-D20E-4E13-81A7-D4A2B45C3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2005</Words>
  <Characters>11430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Paytsar Mikayelyan</dc:creator>
  <cp:keywords>https:/mul2.gov.am/tasks/1257039/oneclick?token=7b8a22cfa6ca7c6a5f48ff549746e4e7</cp:keywords>
  <dc:description/>
  <cp:lastModifiedBy>Anahit Hakobyan</cp:lastModifiedBy>
  <cp:revision>2</cp:revision>
  <cp:lastPrinted>2022-11-11T06:02:00Z</cp:lastPrinted>
  <dcterms:created xsi:type="dcterms:W3CDTF">2026-04-01T12:56:00Z</dcterms:created>
  <dcterms:modified xsi:type="dcterms:W3CDTF">2026-04-01T12:56:00Z</dcterms:modified>
</cp:coreProperties>
</file>